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0AE6A">
      <w:pPr>
        <w:spacing w:line="264" w:lineRule="auto"/>
        <w:jc w:val="center"/>
        <w:rPr>
          <w:rFonts w:hint="eastAsia" w:ascii="仿宋" w:hAnsi="仿宋" w:eastAsia="仿宋" w:cs="仿宋"/>
          <w:b/>
          <w:bCs/>
          <w:color w:val="auto"/>
          <w:sz w:val="32"/>
          <w:szCs w:val="32"/>
          <w:highlight w:val="none"/>
        </w:rPr>
      </w:pPr>
      <w:bookmarkStart w:id="24" w:name="_GoBack"/>
      <w:bookmarkEnd w:id="24"/>
      <w:r>
        <w:rPr>
          <w:rFonts w:hint="eastAsia" w:ascii="仿宋" w:hAnsi="仿宋" w:eastAsia="仿宋" w:cs="仿宋"/>
          <w:b/>
          <w:bCs/>
          <w:color w:val="auto"/>
          <w:sz w:val="32"/>
          <w:szCs w:val="32"/>
          <w:highlight w:val="none"/>
          <w:lang w:eastAsia="zh-CN"/>
        </w:rPr>
        <w:t>沙洲、双闸联合片区校园大宗食材联合集中二次采购</w:t>
      </w:r>
      <w:r>
        <w:rPr>
          <w:rFonts w:hint="eastAsia" w:ascii="仿宋" w:hAnsi="仿宋" w:eastAsia="仿宋" w:cs="仿宋"/>
          <w:b/>
          <w:bCs/>
          <w:color w:val="auto"/>
          <w:sz w:val="32"/>
          <w:szCs w:val="32"/>
          <w:highlight w:val="none"/>
        </w:rPr>
        <w:t>公告</w:t>
      </w:r>
    </w:p>
    <w:p w14:paraId="5A737815">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p>
    <w:p w14:paraId="67C44F83">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南京师范大学附属中学新城小学、南京师范大学附属中学新城小学南校区、南京建邺东方智能幼儿园、南京市双和幼儿园、南京市创意路幼儿园、南京市建邺区中海幼儿园、南京市建邺区实验幼儿园、南京市建邺高级中学、南京市鹤琴幼儿园、南京市鹤鸣幼儿园、南京先启海峡城幼儿园有限公司、南京市建邺区崇文幼儿园、南京外国语学校河西初级中学第二附属小学</w:t>
      </w:r>
      <w:r>
        <w:rPr>
          <w:rFonts w:hint="eastAsia" w:ascii="仿宋" w:hAnsi="仿宋" w:eastAsia="仿宋" w:cs="仿宋"/>
          <w:color w:val="auto"/>
          <w:sz w:val="28"/>
          <w:szCs w:val="28"/>
          <w:highlight w:val="none"/>
        </w:rPr>
        <w:t>就</w:t>
      </w:r>
      <w:r>
        <w:rPr>
          <w:rFonts w:hint="eastAsia" w:ascii="仿宋" w:hAnsi="仿宋" w:eastAsia="仿宋" w:cs="仿宋"/>
          <w:b/>
          <w:bCs/>
          <w:color w:val="auto"/>
          <w:sz w:val="28"/>
          <w:szCs w:val="28"/>
          <w:highlight w:val="none"/>
          <w:u w:val="single"/>
          <w:lang w:eastAsia="zh-CN"/>
        </w:rPr>
        <w:t>沙洲、双闸联合片区校园大宗食材联合集中二次采购</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进行招标，欢迎符合条件的供应商参加。</w:t>
      </w:r>
    </w:p>
    <w:p w14:paraId="58E1E00A">
      <w:pPr>
        <w:pStyle w:val="13"/>
        <w:pageBreakBefore w:val="0"/>
        <w:widowControl w:val="0"/>
        <w:numPr>
          <w:ilvl w:val="0"/>
          <w:numId w:val="1"/>
        </w:numPr>
        <w:kinsoku/>
        <w:wordWrap/>
        <w:overflowPunct/>
        <w:topLinePunct w:val="0"/>
        <w:autoSpaceDE/>
        <w:autoSpaceDN/>
        <w:bidi w:val="0"/>
        <w:adjustRightInd/>
        <w:snapToGrid/>
        <w:spacing w:before="120" w:after="120"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项目基本情况</w:t>
      </w:r>
    </w:p>
    <w:p w14:paraId="5A48C1C3">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项目编号：NJZZ-W-2025F01003</w:t>
      </w:r>
    </w:p>
    <w:p w14:paraId="269EC7DB">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沙洲、双闸联合片区校园大宗食材联合集中二次采购。</w:t>
      </w:r>
    </w:p>
    <w:p w14:paraId="6D39FF7D">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.最高限价：供应商报价（各品种）不得高于《南京市建邺区2024-2026学年度中小学、幼儿园大宗食材配送协议供货集中采购》各自入围报价，超过入围价投标无效。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投标品牌需与入围品牌一致，否则按无效标处理</w:t>
      </w:r>
      <w:r>
        <w:rPr>
          <w:rFonts w:hint="eastAsia" w:ascii="仿宋" w:hAnsi="仿宋" w:eastAsia="仿宋" w:cs="仿宋"/>
          <w:color w:val="auto"/>
          <w:sz w:val="28"/>
          <w:szCs w:val="28"/>
          <w:highlight w:val="none"/>
          <w:lang w:eastAsia="zh-CN"/>
        </w:rPr>
        <w:t>）</w:t>
      </w:r>
    </w:p>
    <w:p w14:paraId="08B299E9">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.采购需求（简介）：</w:t>
      </w:r>
      <w:r>
        <w:rPr>
          <w:rFonts w:hint="eastAsia" w:ascii="仿宋" w:hAnsi="仿宋" w:eastAsia="仿宋" w:cs="仿宋"/>
          <w:color w:val="auto"/>
          <w:sz w:val="28"/>
          <w:szCs w:val="28"/>
          <w:highlight w:val="none"/>
          <w:lang w:eastAsia="zh-CN"/>
        </w:rPr>
        <w:t>南京师范大学附属中学新城小学、南京师范大学附属中学新城小学南校区、南京建邺东方智能幼儿园、南京市双和幼儿园、南京市创意路幼儿园、南京市建邺区中海幼儿园、南京市建邺区实验幼儿园、南京市建邺高级中学、南京市鹤琴幼儿园、南京市鹤鸣幼儿园、南京先启海峡城幼儿园有限公司、南京市建邺区崇文幼儿园、南京外国语学校河西初级中学第二附属小</w:t>
      </w:r>
      <w:r>
        <w:rPr>
          <w:rFonts w:hint="eastAsia" w:ascii="仿宋" w:hAnsi="仿宋" w:eastAsia="仿宋" w:cs="仿宋"/>
          <w:color w:val="auto"/>
          <w:sz w:val="28"/>
          <w:szCs w:val="28"/>
          <w:highlight w:val="none"/>
          <w:lang w:val="en-US" w:eastAsia="zh-CN"/>
        </w:rPr>
        <w:t>学</w:t>
      </w:r>
      <w:r>
        <w:rPr>
          <w:rFonts w:hint="eastAsia" w:ascii="仿宋" w:hAnsi="仿宋" w:eastAsia="仿宋" w:cs="仿宋"/>
          <w:color w:val="auto"/>
          <w:sz w:val="28"/>
          <w:szCs w:val="28"/>
          <w:highlight w:val="none"/>
        </w:rPr>
        <w:t>共</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所中小学及幼儿园自办食堂需采购大宗食材，为约</w:t>
      </w:r>
      <w:r>
        <w:rPr>
          <w:rFonts w:hint="eastAsia" w:ascii="仿宋" w:hAnsi="仿宋" w:eastAsia="仿宋" w:cs="仿宋"/>
          <w:color w:val="auto"/>
          <w:sz w:val="28"/>
          <w:szCs w:val="28"/>
          <w:highlight w:val="none"/>
          <w:lang w:val="en-US" w:eastAsia="zh-CN"/>
        </w:rPr>
        <w:t>9745</w:t>
      </w:r>
      <w:r>
        <w:rPr>
          <w:rFonts w:hint="eastAsia" w:ascii="仿宋" w:hAnsi="仿宋" w:eastAsia="仿宋" w:cs="仿宋"/>
          <w:color w:val="auto"/>
          <w:sz w:val="28"/>
          <w:szCs w:val="28"/>
          <w:highlight w:val="none"/>
        </w:rPr>
        <w:t>名师生提供就餐。</w:t>
      </w:r>
    </w:p>
    <w:p w14:paraId="6D3F3661">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.合同履行期限：2025年</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2月</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1日-2025年</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4月30日。合同期满后，“片区联合体”校园大宗食材联合集中二次招标采购工作小组和学校膳食委员会根据供应商的履约、考核等情况，决定是否续签。（在合同期内，如遇省、市、区相关部门在食堂管理、食品安全等方面有新文件发布，或出现疫情等不可预见性情况，采购方将依据上级新的文件要求及实际情况提前终止或适当顺延本合同的执行期）。</w:t>
      </w:r>
    </w:p>
    <w:p w14:paraId="0D1FC7CC">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rPr>
        <w:t>.本项目</w:t>
      </w:r>
      <w:r>
        <w:rPr>
          <w:rFonts w:hint="eastAsia" w:ascii="仿宋" w:hAnsi="仿宋" w:eastAsia="仿宋" w:cs="仿宋"/>
          <w:b/>
          <w:bCs/>
          <w:color w:val="auto"/>
          <w:sz w:val="28"/>
          <w:szCs w:val="28"/>
          <w:highlight w:val="none"/>
          <w:u w:val="single"/>
        </w:rPr>
        <w:t>不</w:t>
      </w:r>
      <w:r>
        <w:rPr>
          <w:rFonts w:hint="eastAsia" w:ascii="仿宋" w:hAnsi="仿宋" w:eastAsia="仿宋" w:cs="仿宋"/>
          <w:color w:val="auto"/>
          <w:sz w:val="28"/>
          <w:szCs w:val="28"/>
          <w:highlight w:val="none"/>
          <w:u w:val="single"/>
        </w:rPr>
        <w:t>接受联合体投标。</w:t>
      </w:r>
    </w:p>
    <w:p w14:paraId="74C2ACA5">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.采购品项：</w:t>
      </w:r>
    </w:p>
    <w:tbl>
      <w:tblPr>
        <w:tblStyle w:val="7"/>
        <w:tblW w:w="4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8"/>
        <w:gridCol w:w="4465"/>
      </w:tblGrid>
      <w:tr w14:paraId="538B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6C2F3C21">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分包号</w:t>
            </w:r>
          </w:p>
        </w:tc>
        <w:tc>
          <w:tcPr>
            <w:tcW w:w="3187" w:type="pct"/>
          </w:tcPr>
          <w:p w14:paraId="40A8010D">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品项</w:t>
            </w:r>
          </w:p>
        </w:tc>
      </w:tr>
      <w:tr w14:paraId="3030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1EDFCC02">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分包1</w:t>
            </w:r>
          </w:p>
        </w:tc>
        <w:tc>
          <w:tcPr>
            <w:tcW w:w="3187" w:type="pct"/>
          </w:tcPr>
          <w:p w14:paraId="359E30C7">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粮</w:t>
            </w:r>
          </w:p>
        </w:tc>
      </w:tr>
      <w:tr w14:paraId="38C3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626170F5">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分包2</w:t>
            </w:r>
          </w:p>
        </w:tc>
        <w:tc>
          <w:tcPr>
            <w:tcW w:w="3187" w:type="pct"/>
          </w:tcPr>
          <w:p w14:paraId="5D4E48C0">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食用油</w:t>
            </w:r>
          </w:p>
        </w:tc>
      </w:tr>
      <w:tr w14:paraId="39DA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0E31E875">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分包3</w:t>
            </w:r>
          </w:p>
        </w:tc>
        <w:tc>
          <w:tcPr>
            <w:tcW w:w="3187" w:type="pct"/>
          </w:tcPr>
          <w:p w14:paraId="3C20E3C0">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冷鲜肉（猪牛羊鸡鸭鹅）</w:t>
            </w:r>
          </w:p>
        </w:tc>
      </w:tr>
      <w:tr w14:paraId="5385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504A0575">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分包4</w:t>
            </w:r>
          </w:p>
        </w:tc>
        <w:tc>
          <w:tcPr>
            <w:tcW w:w="3187" w:type="pct"/>
          </w:tcPr>
          <w:p w14:paraId="0E2B6FD0">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冷冻制品（含冷冻家禽）</w:t>
            </w:r>
          </w:p>
        </w:tc>
      </w:tr>
      <w:tr w14:paraId="74EB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812" w:type="pct"/>
          </w:tcPr>
          <w:p w14:paraId="50081F84">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分包5</w:t>
            </w:r>
          </w:p>
        </w:tc>
        <w:tc>
          <w:tcPr>
            <w:tcW w:w="3187" w:type="pct"/>
          </w:tcPr>
          <w:p w14:paraId="29A4A392">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豆制品</w:t>
            </w:r>
          </w:p>
        </w:tc>
      </w:tr>
      <w:tr w14:paraId="01A7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0C00143B">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分包6</w:t>
            </w:r>
          </w:p>
        </w:tc>
        <w:tc>
          <w:tcPr>
            <w:tcW w:w="3187" w:type="pct"/>
          </w:tcPr>
          <w:p w14:paraId="7A09AB41">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蔬菜</w:t>
            </w:r>
          </w:p>
        </w:tc>
      </w:tr>
      <w:tr w14:paraId="5BE0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14:paraId="3CB7174A">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分包7</w:t>
            </w:r>
          </w:p>
        </w:tc>
        <w:tc>
          <w:tcPr>
            <w:tcW w:w="3187" w:type="pct"/>
          </w:tcPr>
          <w:p w14:paraId="6E599584">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干货调味品</w:t>
            </w:r>
          </w:p>
        </w:tc>
      </w:tr>
      <w:tr w14:paraId="398F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12" w:type="pct"/>
          </w:tcPr>
          <w:p w14:paraId="13A11ACF">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分包8</w:t>
            </w:r>
          </w:p>
        </w:tc>
        <w:tc>
          <w:tcPr>
            <w:tcW w:w="3187" w:type="pct"/>
          </w:tcPr>
          <w:p w14:paraId="1BDAF5E3">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奶制品</w:t>
            </w:r>
          </w:p>
        </w:tc>
      </w:tr>
    </w:tbl>
    <w:p w14:paraId="7ADFFA28">
      <w:pPr>
        <w:pStyle w:val="13"/>
        <w:pageBreakBefore w:val="0"/>
        <w:widowControl w:val="0"/>
        <w:numPr>
          <w:ilvl w:val="0"/>
          <w:numId w:val="1"/>
        </w:numPr>
        <w:kinsoku/>
        <w:wordWrap/>
        <w:overflowPunct/>
        <w:topLinePunct w:val="0"/>
        <w:autoSpaceDE/>
        <w:autoSpaceDN/>
        <w:bidi w:val="0"/>
        <w:adjustRightInd/>
        <w:snapToGrid/>
        <w:spacing w:before="120" w:after="120" w:line="360" w:lineRule="auto"/>
        <w:ind w:firstLine="562" w:firstLineChars="200"/>
        <w:textAlignment w:val="auto"/>
        <w:rPr>
          <w:rFonts w:hint="eastAsia" w:ascii="仿宋" w:hAnsi="仿宋" w:eastAsia="仿宋" w:cs="仿宋"/>
          <w:b/>
          <w:bCs/>
          <w:color w:val="auto"/>
          <w:sz w:val="28"/>
          <w:szCs w:val="28"/>
          <w:highlight w:val="none"/>
        </w:rPr>
      </w:pPr>
      <w:bookmarkStart w:id="0" w:name="_Toc28359003"/>
      <w:bookmarkStart w:id="1" w:name="_Toc35393791"/>
      <w:bookmarkStart w:id="2" w:name="_Toc38985264"/>
      <w:bookmarkStart w:id="3" w:name="_Toc28359080"/>
      <w:bookmarkStart w:id="4" w:name="_Toc35393622"/>
      <w:r>
        <w:rPr>
          <w:rFonts w:hint="eastAsia" w:ascii="仿宋" w:hAnsi="仿宋" w:eastAsia="仿宋" w:cs="仿宋"/>
          <w:b/>
          <w:bCs/>
          <w:color w:val="auto"/>
          <w:sz w:val="28"/>
          <w:szCs w:val="28"/>
          <w:highlight w:val="none"/>
        </w:rPr>
        <w:t>供应商资格要求</w:t>
      </w:r>
      <w:bookmarkEnd w:id="0"/>
      <w:bookmarkEnd w:id="1"/>
      <w:bookmarkEnd w:id="2"/>
      <w:bookmarkEnd w:id="3"/>
      <w:bookmarkEnd w:id="4"/>
    </w:p>
    <w:p w14:paraId="147A5B7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bookmarkStart w:id="5" w:name="_Toc28359004"/>
      <w:bookmarkStart w:id="6" w:name="_Toc38985265"/>
      <w:bookmarkStart w:id="7" w:name="_Toc35393792"/>
      <w:bookmarkStart w:id="8" w:name="_Toc28359081"/>
      <w:bookmarkStart w:id="9" w:name="_Toc35393623"/>
      <w:r>
        <w:rPr>
          <w:rFonts w:hint="eastAsia" w:ascii="仿宋" w:hAnsi="仿宋" w:eastAsia="仿宋" w:cs="仿宋"/>
          <w:color w:val="auto"/>
          <w:sz w:val="28"/>
          <w:szCs w:val="28"/>
          <w:highlight w:val="none"/>
        </w:rPr>
        <w:t>供应商须为《南京市建邺区2024-2026学年度中小学、幼儿园大宗食材配送协议供货集中采购》对应品项入选供应商，提供《入选通知书》复印件并加盖公章。</w:t>
      </w:r>
    </w:p>
    <w:bookmarkEnd w:id="5"/>
    <w:bookmarkEnd w:id="6"/>
    <w:bookmarkEnd w:id="7"/>
    <w:bookmarkEnd w:id="8"/>
    <w:bookmarkEnd w:id="9"/>
    <w:p w14:paraId="289D3B95">
      <w:pPr>
        <w:pStyle w:val="13"/>
        <w:pageBreakBefore w:val="0"/>
        <w:widowControl w:val="0"/>
        <w:numPr>
          <w:ilvl w:val="0"/>
          <w:numId w:val="1"/>
        </w:numPr>
        <w:kinsoku/>
        <w:wordWrap/>
        <w:overflowPunct/>
        <w:topLinePunct w:val="0"/>
        <w:autoSpaceDE/>
        <w:autoSpaceDN/>
        <w:bidi w:val="0"/>
        <w:adjustRightInd/>
        <w:snapToGrid/>
        <w:spacing w:before="120" w:after="120" w:line="360" w:lineRule="auto"/>
        <w:ind w:firstLine="562" w:firstLineChars="200"/>
        <w:textAlignment w:val="auto"/>
        <w:rPr>
          <w:rFonts w:hint="eastAsia" w:ascii="仿宋" w:hAnsi="仿宋" w:eastAsia="仿宋" w:cs="仿宋"/>
          <w:b/>
          <w:bCs/>
          <w:color w:val="auto"/>
          <w:sz w:val="28"/>
          <w:szCs w:val="28"/>
          <w:highlight w:val="none"/>
        </w:rPr>
      </w:pPr>
      <w:bookmarkStart w:id="10" w:name="_Toc28359005"/>
      <w:bookmarkStart w:id="11" w:name="_Toc28359082"/>
      <w:bookmarkStart w:id="12" w:name="_Toc38985266"/>
      <w:bookmarkStart w:id="13" w:name="_Toc35393624"/>
      <w:bookmarkStart w:id="14" w:name="_Toc35393793"/>
      <w:r>
        <w:rPr>
          <w:rFonts w:hint="eastAsia" w:ascii="仿宋" w:hAnsi="仿宋" w:eastAsia="仿宋" w:cs="仿宋"/>
          <w:b/>
          <w:bCs/>
          <w:color w:val="auto"/>
          <w:sz w:val="28"/>
          <w:szCs w:val="28"/>
          <w:highlight w:val="none"/>
        </w:rPr>
        <w:t>报名时间（扫码下方二维码进行报名登记）</w:t>
      </w:r>
    </w:p>
    <w:p w14:paraId="58567ED1">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日（上午9：00-11：30，下午13：30-16：30）。（请扫码报名）</w:t>
      </w:r>
    </w:p>
    <w:p w14:paraId="5874E067">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drawing>
          <wp:inline distT="0" distB="0" distL="114300" distR="114300">
            <wp:extent cx="3048000" cy="3048000"/>
            <wp:effectExtent l="0" t="0" r="0" b="0"/>
            <wp:docPr id="1" name="图片 1" descr="httpsdocs.qq.comformpageDTG5kYVpTeEx2cX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docs.qq.comformpageDTG5kYVpTeEx2cXBs"/>
                    <pic:cNvPicPr>
                      <a:picLocks noChangeAspect="1"/>
                    </pic:cNvPicPr>
                  </pic:nvPicPr>
                  <pic:blipFill>
                    <a:blip r:embed="rId6"/>
                    <a:stretch>
                      <a:fillRect/>
                    </a:stretch>
                  </pic:blipFill>
                  <pic:spPr>
                    <a:xfrm>
                      <a:off x="0" y="0"/>
                      <a:ext cx="3048000" cy="3048000"/>
                    </a:xfrm>
                    <a:prstGeom prst="rect">
                      <a:avLst/>
                    </a:prstGeom>
                  </pic:spPr>
                </pic:pic>
              </a:graphicData>
            </a:graphic>
          </wp:inline>
        </w:drawing>
      </w:r>
    </w:p>
    <w:p w14:paraId="506CA979">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供应商请务必仔细核对报名信息</w:t>
      </w:r>
    </w:p>
    <w:bookmarkEnd w:id="10"/>
    <w:bookmarkEnd w:id="11"/>
    <w:bookmarkEnd w:id="12"/>
    <w:bookmarkEnd w:id="13"/>
    <w:bookmarkEnd w:id="14"/>
    <w:p w14:paraId="4E9D64FB">
      <w:pPr>
        <w:pStyle w:val="13"/>
        <w:pageBreakBefore w:val="0"/>
        <w:widowControl w:val="0"/>
        <w:numPr>
          <w:ilvl w:val="0"/>
          <w:numId w:val="1"/>
        </w:numPr>
        <w:kinsoku/>
        <w:wordWrap/>
        <w:overflowPunct/>
        <w:topLinePunct w:val="0"/>
        <w:autoSpaceDE/>
        <w:autoSpaceDN/>
        <w:bidi w:val="0"/>
        <w:adjustRightInd/>
        <w:snapToGrid/>
        <w:spacing w:before="120" w:after="120" w:line="360" w:lineRule="auto"/>
        <w:ind w:firstLine="562" w:firstLineChars="200"/>
        <w:textAlignment w:val="auto"/>
        <w:rPr>
          <w:rFonts w:hint="eastAsia" w:ascii="仿宋" w:hAnsi="仿宋" w:eastAsia="仿宋" w:cs="仿宋"/>
          <w:b/>
          <w:bCs/>
          <w:color w:val="auto"/>
          <w:sz w:val="28"/>
          <w:szCs w:val="28"/>
          <w:highlight w:val="none"/>
        </w:rPr>
      </w:pPr>
      <w:bookmarkStart w:id="15" w:name="_Toc35393626"/>
      <w:bookmarkStart w:id="16" w:name="_Toc38985268"/>
      <w:bookmarkStart w:id="17" w:name="_Toc35393795"/>
      <w:r>
        <w:rPr>
          <w:rFonts w:hint="eastAsia" w:ascii="仿宋" w:hAnsi="仿宋" w:eastAsia="仿宋" w:cs="仿宋"/>
          <w:b/>
          <w:bCs/>
          <w:color w:val="auto"/>
          <w:sz w:val="28"/>
          <w:szCs w:val="28"/>
          <w:highlight w:val="none"/>
        </w:rPr>
        <w:t>投标资料递交时间及方式</w:t>
      </w:r>
    </w:p>
    <w:p w14:paraId="4C8D9626">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0将投标资料送至“联合片区”牵头学校（南京师范大学附属中学新城小学）</w:t>
      </w:r>
      <w:r>
        <w:rPr>
          <w:rFonts w:hint="eastAsia" w:ascii="仿宋" w:hAnsi="仿宋" w:eastAsia="仿宋" w:cs="仿宋"/>
          <w:color w:val="auto"/>
          <w:sz w:val="28"/>
          <w:szCs w:val="28"/>
          <w:highlight w:val="none"/>
          <w:lang w:eastAsia="zh-CN"/>
        </w:rPr>
        <w:t>新城小学报告厅</w:t>
      </w:r>
      <w:r>
        <w:rPr>
          <w:rFonts w:hint="eastAsia" w:ascii="仿宋" w:hAnsi="仿宋" w:eastAsia="仿宋" w:cs="仿宋"/>
          <w:color w:val="auto"/>
          <w:sz w:val="28"/>
          <w:szCs w:val="28"/>
          <w:highlight w:val="none"/>
        </w:rPr>
        <w:t>，过时视为自动放弃投标。</w:t>
      </w:r>
    </w:p>
    <w:p w14:paraId="1CFDCCD5">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 系 人：莫老师</w:t>
      </w:r>
      <w:r>
        <w:rPr>
          <w:rFonts w:hint="eastAsia" w:ascii="仿宋" w:hAnsi="仿宋" w:eastAsia="仿宋" w:cs="仿宋"/>
          <w:color w:val="auto"/>
          <w:sz w:val="28"/>
          <w:szCs w:val="28"/>
          <w:highlight w:val="none"/>
          <w:lang w:val="en-US" w:eastAsia="zh-CN"/>
        </w:rPr>
        <w:t>/13913858388</w:t>
      </w:r>
    </w:p>
    <w:p w14:paraId="50295206">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王老师/17761731664</w:t>
      </w:r>
    </w:p>
    <w:p w14:paraId="49C98C94">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址：江苏省南京市建邺区黄山路122号</w:t>
      </w:r>
    </w:p>
    <w:p w14:paraId="5E518389">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lang w:eastAsia="zh-CN"/>
        </w:rPr>
      </w:pPr>
    </w:p>
    <w:p w14:paraId="70923773">
      <w:pPr>
        <w:pStyle w:val="13"/>
        <w:pageBreakBefore w:val="0"/>
        <w:widowControl w:val="0"/>
        <w:numPr>
          <w:ilvl w:val="0"/>
          <w:numId w:val="1"/>
        </w:numPr>
        <w:kinsoku/>
        <w:wordWrap/>
        <w:overflowPunct/>
        <w:topLinePunct w:val="0"/>
        <w:autoSpaceDE/>
        <w:autoSpaceDN/>
        <w:bidi w:val="0"/>
        <w:adjustRightInd/>
        <w:snapToGrid/>
        <w:spacing w:before="120" w:after="120" w:line="360" w:lineRule="auto"/>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评审时间、地点</w:t>
      </w:r>
    </w:p>
    <w:p w14:paraId="51E6EC84">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评审开始时间：202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 xml:space="preserve">日  </w:t>
      </w:r>
      <w:r>
        <w:rPr>
          <w:rFonts w:hint="eastAsia" w:ascii="仿宋" w:hAnsi="仿宋" w:eastAsia="仿宋" w:cs="仿宋"/>
          <w:color w:val="auto"/>
          <w:sz w:val="28"/>
          <w:szCs w:val="28"/>
          <w:highlight w:val="none"/>
          <w:lang w:eastAsia="zh-CN"/>
        </w:rPr>
        <w:t>上</w:t>
      </w:r>
      <w:r>
        <w:rPr>
          <w:rFonts w:hint="eastAsia" w:ascii="仿宋" w:hAnsi="仿宋" w:eastAsia="仿宋" w:cs="仿宋"/>
          <w:color w:val="auto"/>
          <w:sz w:val="28"/>
          <w:szCs w:val="28"/>
          <w:highlight w:val="none"/>
        </w:rPr>
        <w:t>午</w:t>
      </w:r>
      <w:r>
        <w:rPr>
          <w:rFonts w:hint="eastAsia" w:ascii="仿宋" w:hAnsi="仿宋" w:eastAsia="仿宋" w:cs="仿宋"/>
          <w:color w:val="auto"/>
          <w:sz w:val="28"/>
          <w:szCs w:val="28"/>
          <w:highlight w:val="none"/>
          <w:lang w:val="en-US" w:eastAsia="zh-CN"/>
        </w:rPr>
        <w:t>09:30</w:t>
      </w:r>
      <w:r>
        <w:rPr>
          <w:rFonts w:hint="eastAsia" w:ascii="仿宋" w:hAnsi="仿宋" w:eastAsia="仿宋" w:cs="仿宋"/>
          <w:color w:val="auto"/>
          <w:sz w:val="28"/>
          <w:szCs w:val="28"/>
          <w:highlight w:val="none"/>
        </w:rPr>
        <w:t>时</w:t>
      </w:r>
    </w:p>
    <w:p w14:paraId="2DE3C0CB">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评审地点：南京师范大学附属中学新城小学</w:t>
      </w:r>
      <w:r>
        <w:rPr>
          <w:rFonts w:hint="eastAsia" w:ascii="仿宋" w:hAnsi="仿宋" w:eastAsia="仿宋" w:cs="仿宋"/>
          <w:color w:val="auto"/>
          <w:sz w:val="28"/>
          <w:szCs w:val="28"/>
          <w:highlight w:val="none"/>
          <w:lang w:eastAsia="zh-CN"/>
        </w:rPr>
        <w:t>（新城小学报告厅）</w:t>
      </w:r>
    </w:p>
    <w:p w14:paraId="012F7516">
      <w:pPr>
        <w:pStyle w:val="13"/>
        <w:pageBreakBefore w:val="0"/>
        <w:widowControl w:val="0"/>
        <w:numPr>
          <w:ilvl w:val="0"/>
          <w:numId w:val="0"/>
        </w:numPr>
        <w:kinsoku/>
        <w:wordWrap/>
        <w:overflowPunct/>
        <w:topLinePunct w:val="0"/>
        <w:autoSpaceDE/>
        <w:autoSpaceDN/>
        <w:bidi w:val="0"/>
        <w:adjustRightInd/>
        <w:snapToGrid/>
        <w:spacing w:before="120" w:after="120" w:line="360" w:lineRule="auto"/>
        <w:ind w:left="0" w:leftChars="0" w:firstLine="562" w:firstLineChars="200"/>
        <w:textAlignment w:val="auto"/>
        <w:rPr>
          <w:rFonts w:hint="eastAsia"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lang w:val="en-US" w:eastAsia="zh-CN" w:bidi="ar-SA"/>
        </w:rPr>
        <w:t>六、</w:t>
      </w:r>
      <w:r>
        <w:rPr>
          <w:rFonts w:hint="eastAsia" w:ascii="仿宋" w:hAnsi="仿宋" w:eastAsia="仿宋" w:cs="仿宋"/>
          <w:b/>
          <w:bCs/>
          <w:color w:val="auto"/>
          <w:sz w:val="28"/>
          <w:szCs w:val="28"/>
          <w:highlight w:val="none"/>
        </w:rPr>
        <w:t>评标委员会</w:t>
      </w:r>
    </w:p>
    <w:p w14:paraId="75E39395">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“联合片区”</w:t>
      </w:r>
      <w:r>
        <w:rPr>
          <w:rFonts w:hint="eastAsia" w:ascii="仿宋" w:hAnsi="仿宋" w:eastAsia="仿宋" w:cs="仿宋"/>
          <w:color w:val="auto"/>
          <w:sz w:val="28"/>
          <w:szCs w:val="28"/>
          <w:highlight w:val="none"/>
          <w:lang w:val="en-US" w:eastAsia="zh-CN"/>
        </w:rPr>
        <w:t>评审委员会由</w:t>
      </w:r>
      <w:r>
        <w:rPr>
          <w:rFonts w:hint="eastAsia" w:ascii="仿宋" w:hAnsi="仿宋" w:eastAsia="仿宋" w:cs="仿宋"/>
          <w:b/>
          <w:bCs/>
          <w:color w:val="auto"/>
          <w:sz w:val="28"/>
          <w:szCs w:val="28"/>
          <w:highlight w:val="none"/>
          <w:lang w:val="en-US" w:eastAsia="zh-CN"/>
        </w:rPr>
        <w:t>家长代表及教师代表按照2：1的比例组成</w:t>
      </w:r>
      <w:r>
        <w:rPr>
          <w:rFonts w:hint="eastAsia" w:ascii="仿宋" w:hAnsi="仿宋" w:eastAsia="仿宋" w:cs="仿宋"/>
          <w:color w:val="auto"/>
          <w:sz w:val="28"/>
          <w:szCs w:val="28"/>
          <w:highlight w:val="none"/>
        </w:rPr>
        <w:t>，各校党支部安排1名纪律委员全程监督(监督人员不参加评分)。</w:t>
      </w:r>
    </w:p>
    <w:p w14:paraId="41A8C90B">
      <w:pPr>
        <w:pStyle w:val="13"/>
        <w:pageBreakBefore w:val="0"/>
        <w:widowControl w:val="0"/>
        <w:numPr>
          <w:ilvl w:val="0"/>
          <w:numId w:val="0"/>
        </w:numPr>
        <w:kinsoku/>
        <w:wordWrap/>
        <w:overflowPunct/>
        <w:topLinePunct w:val="0"/>
        <w:autoSpaceDE/>
        <w:autoSpaceDN/>
        <w:bidi w:val="0"/>
        <w:adjustRightInd/>
        <w:snapToGrid/>
        <w:spacing w:before="120" w:after="120" w:line="360" w:lineRule="auto"/>
        <w:ind w:left="0" w:leftChars="0" w:firstLine="562" w:firstLineChars="200"/>
        <w:textAlignment w:val="auto"/>
        <w:rPr>
          <w:rFonts w:hint="eastAsia"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lang w:val="en-US" w:eastAsia="zh-CN" w:bidi="ar-SA"/>
        </w:rPr>
        <w:t>七、</w:t>
      </w:r>
      <w:r>
        <w:rPr>
          <w:rFonts w:hint="eastAsia" w:ascii="仿宋" w:hAnsi="仿宋" w:eastAsia="仿宋" w:cs="仿宋"/>
          <w:b/>
          <w:bCs/>
          <w:color w:val="auto"/>
          <w:sz w:val="28"/>
          <w:szCs w:val="28"/>
          <w:highlight w:val="none"/>
        </w:rPr>
        <w:t>评分标准</w:t>
      </w:r>
    </w:p>
    <w:p w14:paraId="341A17BD">
      <w:pPr>
        <w:pStyle w:val="13"/>
        <w:pageBreakBefore w:val="0"/>
        <w:widowControl w:val="0"/>
        <w:kinsoku/>
        <w:wordWrap/>
        <w:overflowPunct/>
        <w:topLinePunct w:val="0"/>
        <w:autoSpaceDE/>
        <w:autoSpaceDN/>
        <w:bidi w:val="0"/>
        <w:adjustRightInd/>
        <w:snapToGrid/>
        <w:spacing w:before="120" w:after="120" w:line="360" w:lineRule="auto"/>
        <w:ind w:left="0" w:firstLine="560" w:firstLineChars="200"/>
        <w:textAlignment w:val="auto"/>
        <w:rPr>
          <w:rFonts w:hint="eastAsia" w:ascii="仿宋" w:hAnsi="仿宋" w:eastAsia="仿宋" w:cs="仿宋"/>
          <w:b/>
          <w:bCs/>
          <w:color w:val="auto"/>
          <w:sz w:val="28"/>
          <w:highlight w:val="none"/>
        </w:rPr>
      </w:pPr>
      <w:r>
        <w:rPr>
          <w:rFonts w:hint="eastAsia" w:ascii="仿宋" w:hAnsi="仿宋" w:eastAsia="仿宋" w:cs="仿宋"/>
          <w:color w:val="auto"/>
          <w:sz w:val="28"/>
          <w:szCs w:val="28"/>
          <w:highlight w:val="none"/>
        </w:rPr>
        <w:t>采用综合评分法，评标结果按评审后得分由高到低顺序排列。得分相同的，按投标报价由低到高顺序排列。得分且投标报价相同的，按“评分标准中第2-3项”得分由高到低顺序排列。每个分包项目</w:t>
      </w:r>
      <w:r>
        <w:rPr>
          <w:rFonts w:hint="eastAsia" w:ascii="仿宋" w:hAnsi="仿宋" w:eastAsia="仿宋" w:cs="仿宋"/>
          <w:b/>
          <w:bCs/>
          <w:color w:val="auto"/>
          <w:sz w:val="28"/>
          <w:highlight w:val="none"/>
        </w:rPr>
        <w:t>总分排名第一的为本次</w:t>
      </w:r>
      <w:r>
        <w:rPr>
          <w:rFonts w:hint="eastAsia" w:ascii="仿宋" w:hAnsi="仿宋" w:eastAsia="仿宋" w:cs="仿宋"/>
          <w:b/>
          <w:bCs/>
          <w:color w:val="auto"/>
          <w:sz w:val="28"/>
          <w:szCs w:val="28"/>
          <w:highlight w:val="none"/>
        </w:rPr>
        <w:t>中标供应商（第二名及第三名备选，也同时成为学校替补供应商）</w:t>
      </w:r>
      <w:r>
        <w:rPr>
          <w:rFonts w:hint="eastAsia" w:ascii="仿宋" w:hAnsi="仿宋" w:eastAsia="仿宋" w:cs="仿宋"/>
          <w:b/>
          <w:bCs/>
          <w:color w:val="auto"/>
          <w:sz w:val="28"/>
          <w:highlight w:val="none"/>
        </w:rPr>
        <w:t>。</w:t>
      </w:r>
    </w:p>
    <w:p w14:paraId="110F1FC1">
      <w:pPr>
        <w:pStyle w:val="14"/>
        <w:rPr>
          <w:rFonts w:hint="eastAsia"/>
          <w:color w:val="auto"/>
          <w:highlight w:val="none"/>
        </w:rPr>
      </w:pPr>
      <w:r>
        <w:rPr>
          <w:rFonts w:hint="eastAsia" w:ascii="仿宋" w:hAnsi="仿宋" w:eastAsia="仿宋" w:cs="仿宋"/>
          <w:b/>
          <w:bCs/>
          <w:color w:val="auto"/>
          <w:sz w:val="28"/>
          <w:highlight w:val="none"/>
          <w:lang w:val="en-US" w:eastAsia="zh-CN"/>
        </w:rPr>
        <w:t>★单个供应商在单个“联合片区”中标分包最多不超过三个。</w:t>
      </w:r>
    </w:p>
    <w:bookmarkEnd w:id="15"/>
    <w:bookmarkEnd w:id="16"/>
    <w:bookmarkEnd w:id="17"/>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187"/>
        <w:gridCol w:w="5878"/>
        <w:gridCol w:w="736"/>
      </w:tblGrid>
      <w:tr w14:paraId="15B8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1" w:type="dxa"/>
            <w:vAlign w:val="center"/>
          </w:tcPr>
          <w:p w14:paraId="256E33D4">
            <w:pPr>
              <w:spacing w:line="360" w:lineRule="auto"/>
              <w:jc w:val="center"/>
              <w:rPr>
                <w:rFonts w:hint="eastAsia" w:ascii="仿宋" w:hAnsi="仿宋" w:eastAsia="仿宋" w:cs="仿宋"/>
                <w:color w:val="auto"/>
                <w:sz w:val="28"/>
                <w:szCs w:val="28"/>
                <w:highlight w:val="none"/>
              </w:rPr>
            </w:pPr>
            <w:bookmarkStart w:id="18" w:name="_Toc35393627"/>
            <w:bookmarkStart w:id="19" w:name="_Toc28359008"/>
            <w:bookmarkStart w:id="20" w:name="_Toc35393796"/>
            <w:bookmarkStart w:id="21" w:name="_Toc38985269"/>
            <w:bookmarkStart w:id="22" w:name="_Toc28359085"/>
            <w:r>
              <w:rPr>
                <w:rFonts w:hint="eastAsia" w:ascii="仿宋" w:hAnsi="仿宋" w:eastAsia="仿宋" w:cs="仿宋"/>
                <w:color w:val="auto"/>
                <w:sz w:val="28"/>
                <w:szCs w:val="28"/>
                <w:highlight w:val="none"/>
              </w:rPr>
              <w:t>序号</w:t>
            </w:r>
          </w:p>
        </w:tc>
        <w:tc>
          <w:tcPr>
            <w:tcW w:w="1187" w:type="dxa"/>
            <w:vAlign w:val="center"/>
          </w:tcPr>
          <w:p w14:paraId="59D98DFF">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w:t>
            </w:r>
          </w:p>
          <w:p w14:paraId="70950858">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因素</w:t>
            </w:r>
          </w:p>
        </w:tc>
        <w:tc>
          <w:tcPr>
            <w:tcW w:w="5878" w:type="dxa"/>
            <w:vAlign w:val="center"/>
          </w:tcPr>
          <w:p w14:paraId="5949A991">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评分标准</w:t>
            </w:r>
          </w:p>
        </w:tc>
        <w:tc>
          <w:tcPr>
            <w:tcW w:w="736" w:type="dxa"/>
            <w:vAlign w:val="center"/>
          </w:tcPr>
          <w:p w14:paraId="5CCC516A">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分值</w:t>
            </w:r>
          </w:p>
        </w:tc>
      </w:tr>
      <w:tr w14:paraId="3F05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14:paraId="14CD00E6">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187" w:type="dxa"/>
            <w:vAlign w:val="center"/>
          </w:tcPr>
          <w:p w14:paraId="11BD069B">
            <w:pPr>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价格</w:t>
            </w:r>
          </w:p>
        </w:tc>
        <w:tc>
          <w:tcPr>
            <w:tcW w:w="5878" w:type="dxa"/>
          </w:tcPr>
          <w:p w14:paraId="3FBBC40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当投标人＜5家时，投标供应商报价的</w:t>
            </w:r>
            <w:r>
              <w:rPr>
                <w:rFonts w:hint="eastAsia" w:ascii="仿宋" w:hAnsi="仿宋" w:eastAsia="仿宋" w:cs="仿宋"/>
                <w:b w:val="0"/>
                <w:bCs w:val="0"/>
                <w:color w:val="auto"/>
                <w:sz w:val="28"/>
                <w:szCs w:val="28"/>
                <w:highlight w:val="none"/>
              </w:rPr>
              <w:t>平均价作为基准价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当投标人5≥7家时，去掉1个最高价，去掉1个最低价后，剩余投标供应商报价的平均价作为基准价；当投标人＞7家时，去掉2个最高价，去掉2个最低价后，剩余投标供应商报价的平均价作为基准价；</w:t>
            </w:r>
            <w:r>
              <w:rPr>
                <w:rFonts w:hint="eastAsia" w:ascii="仿宋" w:hAnsi="仿宋" w:eastAsia="仿宋" w:cs="仿宋"/>
                <w:color w:val="auto"/>
                <w:sz w:val="28"/>
                <w:szCs w:val="28"/>
                <w:highlight w:val="none"/>
              </w:rPr>
              <w:t>等于基准</w:t>
            </w:r>
            <w:r>
              <w:rPr>
                <w:rFonts w:hint="eastAsia" w:ascii="仿宋" w:hAnsi="仿宋" w:eastAsia="仿宋" w:cs="仿宋"/>
                <w:color w:val="auto"/>
                <w:sz w:val="28"/>
                <w:szCs w:val="28"/>
                <w:highlight w:val="none"/>
                <w:lang w:val="en-US" w:eastAsia="zh-CN"/>
              </w:rPr>
              <w:t>价</w:t>
            </w:r>
            <w:r>
              <w:rPr>
                <w:rFonts w:hint="eastAsia" w:ascii="仿宋" w:hAnsi="仿宋" w:eastAsia="仿宋" w:cs="仿宋"/>
                <w:color w:val="auto"/>
                <w:sz w:val="28"/>
                <w:szCs w:val="28"/>
                <w:highlight w:val="none"/>
              </w:rPr>
              <w:t>的价格</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rPr>
              <w:t>为满分。</w:t>
            </w:r>
          </w:p>
          <w:p w14:paraId="41734AF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各供应商投标报价的偏差率=100%×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投标人报价-评标基准报价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/评标基准报价。</w:t>
            </w:r>
          </w:p>
          <w:p w14:paraId="2ECD0E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偏差率偏离评标基准价的每增加1%扣0.</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分，每降低1%扣0.</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分，偏离不足1%的，按照插入法计算得分。</w:t>
            </w:r>
          </w:p>
        </w:tc>
        <w:tc>
          <w:tcPr>
            <w:tcW w:w="736" w:type="dxa"/>
            <w:vAlign w:val="center"/>
          </w:tcPr>
          <w:p w14:paraId="16DC47C4">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60</w:t>
            </w:r>
            <w:r>
              <w:rPr>
                <w:rFonts w:hint="eastAsia" w:ascii="仿宋" w:hAnsi="仿宋" w:eastAsia="仿宋" w:cs="仿宋"/>
                <w:color w:val="auto"/>
                <w:sz w:val="28"/>
                <w:szCs w:val="28"/>
                <w:highlight w:val="none"/>
              </w:rPr>
              <w:t>分</w:t>
            </w:r>
          </w:p>
        </w:tc>
      </w:tr>
      <w:tr w14:paraId="7421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vAlign w:val="center"/>
          </w:tcPr>
          <w:p w14:paraId="20647DA4">
            <w:pPr>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1187" w:type="dxa"/>
            <w:vMerge w:val="restart"/>
            <w:vAlign w:val="center"/>
          </w:tcPr>
          <w:p w14:paraId="49BF6132">
            <w:pPr>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履约</w:t>
            </w:r>
          </w:p>
          <w:p w14:paraId="20061461">
            <w:pPr>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能力</w:t>
            </w:r>
          </w:p>
        </w:tc>
        <w:tc>
          <w:tcPr>
            <w:tcW w:w="5878" w:type="dxa"/>
            <w:vAlign w:val="top"/>
          </w:tcPr>
          <w:p w14:paraId="002983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评委根据投标供应商的履约能力综合评分。</w:t>
            </w:r>
          </w:p>
          <w:p w14:paraId="16EFCA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1.承诺书（1分）</w:t>
            </w:r>
          </w:p>
          <w:p w14:paraId="5A4BBB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投标供应商应承诺中标后实际配送和投标时提供的车辆信息保持一致，否则学校有权利直接解除合同。（提供承诺书加盖公章）</w:t>
            </w:r>
          </w:p>
          <w:p w14:paraId="6EB480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2.配送车辆数量（10分）</w:t>
            </w:r>
          </w:p>
          <w:p w14:paraId="5B9810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（1）粮、食用油、干货调味品、蔬菜分包根据供应商提供的自有或租赁的配送车辆情况综合评分：</w:t>
            </w:r>
          </w:p>
          <w:p w14:paraId="3B3DA6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在有三辆配送车的基础上，供应商自有车辆每增加一辆得2分，最多得10分，须提供车辆明细清单和《机动车行驶证》或《机动车登记证》等相关证明材料复印件加盖供应商公章；</w:t>
            </w:r>
          </w:p>
          <w:p w14:paraId="6870F2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若为租赁车辆，每增加一辆得1分，最多得4分，须提供租赁合同及租赁发票复印件并加盖供应商公章，租赁合同需呈现租赁车辆数量和租赁车辆车牌号以及租赁车辆的《机动车行驶证》或《机动车登记证》等，证明材料须清晰体现相关内容。</w:t>
            </w:r>
          </w:p>
          <w:p w14:paraId="68C2A9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（2）冷鲜肉（猪牛羊鸡鸭鹅）、冷冻制品（含冷冻家禽）、豆制品、奶制品类分包根据供应商提供的自有或租赁的配送冷藏/冷链车辆情况综合评分：</w:t>
            </w:r>
          </w:p>
          <w:p w14:paraId="13F192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在有三辆冷藏/冷链车的基础上，供应商自有车辆每增加一辆得2分，最多得10分，须提供车辆明细清单、《机动车行驶证》或《机动车登记证》等相关证明材料复印件加盖供应商公章；</w:t>
            </w:r>
          </w:p>
          <w:p w14:paraId="38D02A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若为租赁车辆，每增加一辆得1分，最多得4分，须提供租赁合同及租赁发票，租赁合同需有租赁车辆数量和租赁车辆车牌号以及租赁车辆的《机动车行驶证》或《机动车登记证》等，证明材料须清晰体现相关内容。</w:t>
            </w:r>
          </w:p>
        </w:tc>
        <w:tc>
          <w:tcPr>
            <w:tcW w:w="736" w:type="dxa"/>
            <w:vMerge w:val="restart"/>
            <w:vAlign w:val="center"/>
          </w:tcPr>
          <w:p w14:paraId="78D2D8EF">
            <w:pPr>
              <w:spacing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30分</w:t>
            </w:r>
          </w:p>
        </w:tc>
      </w:tr>
      <w:tr w14:paraId="6F01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14:paraId="19FBCCBC">
            <w:pPr>
              <w:spacing w:line="360" w:lineRule="auto"/>
              <w:jc w:val="center"/>
              <w:rPr>
                <w:rFonts w:hint="eastAsia" w:ascii="仿宋" w:hAnsi="仿宋" w:eastAsia="仿宋" w:cs="仿宋"/>
                <w:color w:val="auto"/>
                <w:sz w:val="28"/>
                <w:szCs w:val="28"/>
                <w:highlight w:val="none"/>
                <w:lang w:val="en-US" w:eastAsia="zh-CN"/>
              </w:rPr>
            </w:pPr>
          </w:p>
        </w:tc>
        <w:tc>
          <w:tcPr>
            <w:tcW w:w="1187" w:type="dxa"/>
            <w:vMerge w:val="continue"/>
            <w:vAlign w:val="center"/>
          </w:tcPr>
          <w:p w14:paraId="3386E3F2">
            <w:pPr>
              <w:spacing w:line="360" w:lineRule="auto"/>
              <w:jc w:val="center"/>
              <w:rPr>
                <w:rFonts w:hint="eastAsia" w:ascii="仿宋" w:hAnsi="仿宋" w:eastAsia="仿宋" w:cs="仿宋"/>
                <w:color w:val="auto"/>
                <w:sz w:val="28"/>
                <w:szCs w:val="28"/>
                <w:highlight w:val="none"/>
                <w:lang w:val="en-US" w:eastAsia="zh-CN"/>
              </w:rPr>
            </w:pPr>
          </w:p>
        </w:tc>
        <w:tc>
          <w:tcPr>
            <w:tcW w:w="5878" w:type="dxa"/>
            <w:vAlign w:val="top"/>
          </w:tcPr>
          <w:p w14:paraId="4E886B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bidi="ar-SA"/>
              </w:rPr>
            </w:pPr>
            <w:bookmarkStart w:id="23" w:name="OLE_LINK1"/>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sz w:val="28"/>
                <w:szCs w:val="28"/>
                <w:highlight w:val="none"/>
                <w:lang w:val="en-US" w:eastAsia="zh-CN" w:bidi="ar-SA"/>
              </w:rPr>
              <w:t>专业配送人员</w:t>
            </w:r>
            <w:bookmarkEnd w:id="23"/>
            <w:r>
              <w:rPr>
                <w:rFonts w:hint="eastAsia" w:ascii="仿宋" w:hAnsi="仿宋" w:eastAsia="仿宋" w:cs="仿宋"/>
                <w:color w:val="auto"/>
                <w:sz w:val="28"/>
                <w:szCs w:val="28"/>
                <w:highlight w:val="none"/>
                <w:lang w:val="en-US" w:eastAsia="zh-CN" w:bidi="ar-SA"/>
              </w:rPr>
              <w:t>（9分）</w:t>
            </w:r>
          </w:p>
          <w:p w14:paraId="745DEB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sz w:val="28"/>
                <w:szCs w:val="28"/>
                <w:highlight w:val="none"/>
                <w:lang w:val="en-US" w:eastAsia="zh-CN" w:bidi="ar-SA"/>
              </w:rPr>
              <w:t>供应商拟投入的专业配送人员具有5年以上工作经验的，每有1名得3分，最高得9分；</w:t>
            </w:r>
          </w:p>
          <w:p w14:paraId="4D7705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（2）具有3-5年工作经验的，每有1名得1分，最高得3分，3年以下不得分。</w:t>
            </w:r>
          </w:p>
          <w:p w14:paraId="585C36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须提供合同复印件并加盖供应商公章，以及供应商为其缴纳六个月内任意一个月的社保证明材料。</w:t>
            </w:r>
          </w:p>
        </w:tc>
        <w:tc>
          <w:tcPr>
            <w:tcW w:w="736" w:type="dxa"/>
            <w:vMerge w:val="continue"/>
            <w:vAlign w:val="center"/>
          </w:tcPr>
          <w:p w14:paraId="400C8656">
            <w:pPr>
              <w:spacing w:line="360" w:lineRule="auto"/>
              <w:jc w:val="center"/>
              <w:rPr>
                <w:rFonts w:hint="eastAsia" w:ascii="仿宋" w:hAnsi="仿宋" w:eastAsia="仿宋" w:cs="仿宋"/>
                <w:color w:val="auto"/>
                <w:sz w:val="28"/>
                <w:szCs w:val="28"/>
                <w:highlight w:val="none"/>
                <w:lang w:val="en-US" w:eastAsia="zh-CN"/>
              </w:rPr>
            </w:pPr>
          </w:p>
        </w:tc>
      </w:tr>
      <w:tr w14:paraId="2548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14:paraId="6F536E00">
            <w:pPr>
              <w:spacing w:line="360" w:lineRule="auto"/>
              <w:jc w:val="center"/>
              <w:rPr>
                <w:rFonts w:hint="eastAsia" w:ascii="仿宋" w:hAnsi="仿宋" w:eastAsia="仿宋" w:cs="仿宋"/>
                <w:color w:val="auto"/>
                <w:sz w:val="28"/>
                <w:szCs w:val="28"/>
                <w:highlight w:val="none"/>
                <w:lang w:val="en-US" w:eastAsia="zh-CN"/>
              </w:rPr>
            </w:pPr>
          </w:p>
        </w:tc>
        <w:tc>
          <w:tcPr>
            <w:tcW w:w="1187" w:type="dxa"/>
            <w:vMerge w:val="continue"/>
            <w:vAlign w:val="center"/>
          </w:tcPr>
          <w:p w14:paraId="48AE029F">
            <w:pPr>
              <w:spacing w:line="360" w:lineRule="auto"/>
              <w:jc w:val="center"/>
              <w:rPr>
                <w:rFonts w:hint="eastAsia" w:ascii="仿宋" w:hAnsi="仿宋" w:eastAsia="仿宋" w:cs="仿宋"/>
                <w:color w:val="auto"/>
                <w:sz w:val="28"/>
                <w:szCs w:val="28"/>
                <w:highlight w:val="none"/>
                <w:lang w:val="en-US" w:eastAsia="zh-CN"/>
              </w:rPr>
            </w:pPr>
          </w:p>
        </w:tc>
        <w:tc>
          <w:tcPr>
            <w:tcW w:w="5878" w:type="dxa"/>
            <w:vAlign w:val="top"/>
          </w:tcPr>
          <w:p w14:paraId="648098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4.</w:t>
            </w:r>
            <w:r>
              <w:rPr>
                <w:rFonts w:hint="eastAsia" w:ascii="仿宋" w:hAnsi="仿宋" w:eastAsia="仿宋" w:cs="仿宋"/>
                <w:color w:val="auto"/>
                <w:sz w:val="28"/>
                <w:szCs w:val="28"/>
                <w:highlight w:val="none"/>
                <w:lang w:val="en-US" w:eastAsia="zh-CN"/>
              </w:rPr>
              <w:t>业绩（10分）</w:t>
            </w:r>
          </w:p>
          <w:p w14:paraId="4A21FE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供应</w:t>
            </w:r>
            <w:r>
              <w:rPr>
                <w:rFonts w:hint="eastAsia" w:ascii="仿宋" w:hAnsi="仿宋" w:eastAsia="仿宋" w:cs="仿宋"/>
                <w:color w:val="auto"/>
                <w:sz w:val="28"/>
                <w:szCs w:val="28"/>
                <w:highlight w:val="none"/>
                <w:lang w:val="en-US" w:eastAsia="zh-CN"/>
              </w:rPr>
              <w:t>商提供自2023年09月01日以来（以合同签订时间为准），每</w:t>
            </w:r>
            <w:r>
              <w:rPr>
                <w:rFonts w:hint="default" w:ascii="仿宋" w:hAnsi="仿宋" w:eastAsia="仿宋" w:cs="仿宋"/>
                <w:color w:val="auto"/>
                <w:sz w:val="28"/>
                <w:szCs w:val="28"/>
                <w:highlight w:val="none"/>
                <w:lang w:val="en-US" w:eastAsia="zh-CN"/>
              </w:rPr>
              <w:t>日就餐</w:t>
            </w:r>
            <w:r>
              <w:rPr>
                <w:rFonts w:hint="eastAsia" w:ascii="仿宋" w:hAnsi="仿宋" w:eastAsia="仿宋" w:cs="仿宋"/>
                <w:color w:val="auto"/>
                <w:sz w:val="28"/>
                <w:szCs w:val="28"/>
                <w:highlight w:val="none"/>
                <w:lang w:val="en-US" w:eastAsia="zh-CN"/>
              </w:rPr>
              <w:t>人数达到2000</w:t>
            </w:r>
            <w:r>
              <w:rPr>
                <w:rFonts w:hint="default" w:ascii="仿宋" w:hAnsi="仿宋" w:eastAsia="仿宋" w:cs="仿宋"/>
                <w:color w:val="auto"/>
                <w:sz w:val="28"/>
                <w:szCs w:val="28"/>
                <w:highlight w:val="none"/>
                <w:lang w:val="en-US" w:eastAsia="zh-CN"/>
              </w:rPr>
              <w:t>人以上（或多个学校累计到</w:t>
            </w:r>
            <w:r>
              <w:rPr>
                <w:rFonts w:hint="eastAsia" w:ascii="仿宋" w:hAnsi="仿宋" w:eastAsia="仿宋" w:cs="仿宋"/>
                <w:color w:val="auto"/>
                <w:sz w:val="28"/>
                <w:szCs w:val="28"/>
                <w:highlight w:val="none"/>
                <w:lang w:val="en-US" w:eastAsia="zh-CN"/>
              </w:rPr>
              <w:t>2000</w:t>
            </w:r>
            <w:r>
              <w:rPr>
                <w:rFonts w:hint="default" w:ascii="仿宋" w:hAnsi="仿宋" w:eastAsia="仿宋" w:cs="仿宋"/>
                <w:color w:val="auto"/>
                <w:sz w:val="28"/>
                <w:szCs w:val="28"/>
                <w:highlight w:val="none"/>
                <w:lang w:val="en-US" w:eastAsia="zh-CN"/>
              </w:rPr>
              <w:t>人以上）的学校</w:t>
            </w:r>
            <w:r>
              <w:rPr>
                <w:rFonts w:hint="eastAsia" w:ascii="仿宋" w:hAnsi="仿宋" w:eastAsia="仿宋" w:cs="仿宋"/>
                <w:color w:val="auto"/>
                <w:sz w:val="28"/>
                <w:szCs w:val="28"/>
                <w:highlight w:val="none"/>
                <w:lang w:val="en-US" w:eastAsia="zh-CN"/>
              </w:rPr>
              <w:t>，每提供一份得</w:t>
            </w:r>
            <w:r>
              <w:rPr>
                <w:rFonts w:hint="default" w:ascii="仿宋" w:hAnsi="仿宋" w:eastAsia="仿宋" w:cs="仿宋"/>
                <w:color w:val="auto"/>
                <w:sz w:val="28"/>
                <w:szCs w:val="28"/>
                <w:highlight w:val="none"/>
                <w:lang w:val="en-US" w:eastAsia="zh-CN"/>
              </w:rPr>
              <w:t>2分，最高</w:t>
            </w:r>
            <w:r>
              <w:rPr>
                <w:rFonts w:hint="eastAsia" w:ascii="仿宋" w:hAnsi="仿宋" w:eastAsia="仿宋" w:cs="仿宋"/>
                <w:color w:val="auto"/>
                <w:sz w:val="28"/>
                <w:szCs w:val="28"/>
                <w:highlight w:val="none"/>
                <w:lang w:val="en-US" w:eastAsia="zh-CN"/>
              </w:rPr>
              <w:t>得10</w:t>
            </w:r>
            <w:r>
              <w:rPr>
                <w:rFonts w:hint="default"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lang w:val="en-US" w:eastAsia="zh-CN"/>
              </w:rPr>
              <w:t>。</w:t>
            </w:r>
          </w:p>
          <w:p w14:paraId="3C7DD9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rPr>
              <w:t>须</w:t>
            </w:r>
            <w:r>
              <w:rPr>
                <w:rFonts w:hint="default" w:ascii="仿宋" w:hAnsi="仿宋" w:eastAsia="仿宋" w:cs="仿宋"/>
                <w:color w:val="auto"/>
                <w:sz w:val="28"/>
                <w:szCs w:val="28"/>
                <w:highlight w:val="none"/>
                <w:lang w:val="en-US" w:eastAsia="zh-CN"/>
              </w:rPr>
              <w:t>提供</w:t>
            </w:r>
            <w:r>
              <w:rPr>
                <w:rFonts w:hint="eastAsia" w:ascii="仿宋" w:hAnsi="仿宋" w:eastAsia="仿宋" w:cs="仿宋"/>
                <w:color w:val="auto"/>
                <w:sz w:val="28"/>
                <w:szCs w:val="28"/>
                <w:highlight w:val="none"/>
                <w:lang w:val="en-US" w:eastAsia="zh-CN"/>
              </w:rPr>
              <w:t>合同复印件及满意度调查表并加盖供应商公章以及学校盖章证明（格式自拟）</w:t>
            </w:r>
            <w:r>
              <w:rPr>
                <w:rFonts w:hint="default" w:ascii="仿宋" w:hAnsi="仿宋" w:eastAsia="仿宋" w:cs="仿宋"/>
                <w:color w:val="auto"/>
                <w:sz w:val="28"/>
                <w:szCs w:val="28"/>
                <w:highlight w:val="none"/>
                <w:lang w:val="en-US" w:eastAsia="zh-CN"/>
              </w:rPr>
              <w:t>。</w:t>
            </w:r>
          </w:p>
        </w:tc>
        <w:tc>
          <w:tcPr>
            <w:tcW w:w="736" w:type="dxa"/>
            <w:vMerge w:val="continue"/>
            <w:vAlign w:val="center"/>
          </w:tcPr>
          <w:p w14:paraId="57ACF9C3">
            <w:pPr>
              <w:spacing w:line="360" w:lineRule="auto"/>
              <w:jc w:val="center"/>
              <w:rPr>
                <w:rFonts w:hint="eastAsia" w:ascii="仿宋" w:hAnsi="仿宋" w:eastAsia="仿宋" w:cs="仿宋"/>
                <w:color w:val="auto"/>
                <w:sz w:val="28"/>
                <w:szCs w:val="28"/>
                <w:highlight w:val="none"/>
                <w:lang w:val="en-US" w:eastAsia="zh-CN"/>
              </w:rPr>
            </w:pPr>
          </w:p>
        </w:tc>
      </w:tr>
      <w:tr w14:paraId="7BC1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14:paraId="16885425">
            <w:pPr>
              <w:spacing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1187" w:type="dxa"/>
            <w:vAlign w:val="center"/>
          </w:tcPr>
          <w:p w14:paraId="547C5AD1">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w:t>
            </w:r>
          </w:p>
          <w:p w14:paraId="06734B9B">
            <w:pPr>
              <w:spacing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方案</w:t>
            </w:r>
          </w:p>
        </w:tc>
        <w:tc>
          <w:tcPr>
            <w:tcW w:w="5878" w:type="dxa"/>
            <w:vAlign w:val="top"/>
          </w:tcPr>
          <w:p w14:paraId="07108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根据供应商提供的服务方案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须针对此次招标的片区结合实际地理位置提出相适应的方案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：包括但不限于车辆运输规范性、配送及时性、供货保障、调换货措施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人员配备</w:t>
            </w:r>
            <w:r>
              <w:rPr>
                <w:rFonts w:hint="eastAsia" w:ascii="仿宋" w:hAnsi="仿宋" w:eastAsia="仿宋" w:cs="仿宋"/>
                <w:color w:val="auto"/>
                <w:sz w:val="28"/>
                <w:szCs w:val="28"/>
                <w:highlight w:val="none"/>
              </w:rPr>
              <w:t>等因素</w:t>
            </w:r>
            <w:r>
              <w:rPr>
                <w:rFonts w:hint="eastAsia" w:ascii="仿宋" w:hAnsi="仿宋" w:eastAsia="仿宋" w:cs="仿宋"/>
                <w:color w:val="auto"/>
                <w:sz w:val="28"/>
                <w:szCs w:val="28"/>
                <w:highlight w:val="none"/>
                <w:lang w:val="en-US" w:eastAsia="zh-CN"/>
              </w:rPr>
              <w:t>综合评分</w:t>
            </w:r>
            <w:r>
              <w:rPr>
                <w:rFonts w:hint="eastAsia" w:ascii="仿宋" w:hAnsi="仿宋" w:eastAsia="仿宋" w:cs="仿宋"/>
                <w:color w:val="auto"/>
                <w:sz w:val="28"/>
                <w:szCs w:val="28"/>
                <w:highlight w:val="none"/>
              </w:rPr>
              <w:t>。</w:t>
            </w:r>
          </w:p>
          <w:p w14:paraId="524B97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bidi="ar-SA"/>
              </w:rPr>
              <w:t>1.</w:t>
            </w:r>
            <w:r>
              <w:rPr>
                <w:rFonts w:hint="eastAsia" w:ascii="仿宋" w:hAnsi="仿宋" w:eastAsia="仿宋" w:cs="仿宋"/>
                <w:color w:val="auto"/>
                <w:sz w:val="28"/>
                <w:szCs w:val="28"/>
                <w:highlight w:val="none"/>
                <w:lang w:val="en-US" w:eastAsia="zh-CN"/>
              </w:rPr>
              <w:t>投标供应商提供的服务方案详细、全面合理、针对性强、可操作性强，</w:t>
            </w:r>
            <w:r>
              <w:rPr>
                <w:rFonts w:hint="eastAsia" w:ascii="仿宋" w:hAnsi="仿宋" w:eastAsia="仿宋" w:cs="仿宋"/>
                <w:color w:val="auto"/>
                <w:sz w:val="28"/>
                <w:szCs w:val="28"/>
                <w:highlight w:val="none"/>
              </w:rPr>
              <w:t>配送</w:t>
            </w:r>
            <w:r>
              <w:rPr>
                <w:rFonts w:hint="eastAsia" w:ascii="仿宋" w:hAnsi="仿宋" w:eastAsia="仿宋" w:cs="仿宋"/>
                <w:color w:val="auto"/>
                <w:sz w:val="28"/>
                <w:szCs w:val="28"/>
                <w:highlight w:val="none"/>
                <w:lang w:val="en-US" w:eastAsia="zh-CN"/>
              </w:rPr>
              <w:t>时效能完全满足该片区学校时效要求、供货有保障、调换货时间保证在半小时以内、配送人员专业性强，得10分；</w:t>
            </w:r>
          </w:p>
          <w:p w14:paraId="7426A8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2.投标供应商提供的服务方案较详细、较全面合理、针对性较强、可操作性较强，配送时效能较好满足该片区学校时效要求、供货有保障、调换货时间保证在两小时以内、配送人员专业性较强，得7分；</w:t>
            </w:r>
          </w:p>
          <w:p w14:paraId="2FA01F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3.投标供应商提供的服务方案一般、全面合理性一般、针对性一般、可操作性一般，配送时效能基本满足该片区学校时效要求、供货能基本保障、调换货时间保证在三小时以内、配送人员基本专业，得4分；</w:t>
            </w:r>
          </w:p>
          <w:p w14:paraId="64755F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4.投标供应商提供的服务方案较差、全面合理性一般、针对性一般、可操作性较差，配送时效能基本满足该片区学校时效要求、供货能基本保障、调换货时间保证在三小时以内、配送人员基本专业，得1分；</w:t>
            </w:r>
          </w:p>
          <w:p w14:paraId="482650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5.未提供方案不得分。</w:t>
            </w:r>
          </w:p>
          <w:p w14:paraId="3FD50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注：投标供应商应严格按照打分要求编制服务方案，该项服务方案为后续中标人履约考核重要组成部分。</w:t>
            </w:r>
          </w:p>
        </w:tc>
        <w:tc>
          <w:tcPr>
            <w:tcW w:w="736" w:type="dxa"/>
            <w:vAlign w:val="center"/>
          </w:tcPr>
          <w:p w14:paraId="6B98A1B2">
            <w:pPr>
              <w:spacing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10分</w:t>
            </w:r>
          </w:p>
        </w:tc>
      </w:tr>
    </w:tbl>
    <w:p w14:paraId="1B3F6455">
      <w:pPr>
        <w:pStyle w:val="13"/>
        <w:pageBreakBefore w:val="0"/>
        <w:widowControl w:val="0"/>
        <w:numPr>
          <w:ilvl w:val="0"/>
          <w:numId w:val="0"/>
        </w:numPr>
        <w:kinsoku/>
        <w:wordWrap/>
        <w:overflowPunct/>
        <w:topLinePunct w:val="0"/>
        <w:autoSpaceDE/>
        <w:autoSpaceDN/>
        <w:bidi w:val="0"/>
        <w:adjustRightInd/>
        <w:snapToGrid/>
        <w:spacing w:before="120" w:after="120" w:line="360" w:lineRule="auto"/>
        <w:ind w:left="0" w:leftChars="0" w:firstLine="562" w:firstLineChars="200"/>
        <w:textAlignment w:val="auto"/>
        <w:rPr>
          <w:rFonts w:hint="eastAsia"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lang w:val="en-US" w:eastAsia="zh-CN" w:bidi="ar-SA"/>
        </w:rPr>
        <w:t>八、</w:t>
      </w:r>
      <w:r>
        <w:rPr>
          <w:rFonts w:hint="eastAsia" w:ascii="仿宋" w:hAnsi="仿宋" w:eastAsia="仿宋" w:cs="仿宋"/>
          <w:b/>
          <w:bCs/>
          <w:color w:val="auto"/>
          <w:sz w:val="28"/>
          <w:szCs w:val="28"/>
          <w:highlight w:val="none"/>
        </w:rPr>
        <w:t>投标文件份数：</w:t>
      </w:r>
    </w:p>
    <w:p w14:paraId="68009CF8">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投标纸质</w:t>
      </w:r>
      <w:r>
        <w:rPr>
          <w:rFonts w:hint="eastAsia" w:ascii="仿宋" w:hAnsi="仿宋" w:eastAsia="仿宋" w:cs="仿宋"/>
          <w:color w:val="auto"/>
          <w:sz w:val="28"/>
          <w:szCs w:val="28"/>
          <w:highlight w:val="none"/>
          <w:lang w:val="en-US" w:eastAsia="zh-CN"/>
        </w:rPr>
        <w:t>材料</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需按分包分别进行投标</w:t>
      </w:r>
      <w:r>
        <w:rPr>
          <w:rFonts w:hint="eastAsia" w:ascii="仿宋" w:hAnsi="仿宋" w:eastAsia="仿宋" w:cs="仿宋"/>
          <w:b/>
          <w:bCs/>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一式十五份，一正十四副</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如有供应商投标多个分包，需按单个分包制作和密封投标文件。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报价单</w:t>
      </w:r>
      <w:r>
        <w:rPr>
          <w:rFonts w:hint="eastAsia" w:ascii="仿宋" w:hAnsi="仿宋" w:eastAsia="仿宋" w:cs="仿宋"/>
          <w:color w:val="auto"/>
          <w:sz w:val="28"/>
          <w:szCs w:val="28"/>
          <w:highlight w:val="none"/>
        </w:rPr>
        <w:t>格式参考附件）</w:t>
      </w:r>
    </w:p>
    <w:p w14:paraId="7065BA27">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投标资料须加盖公章，</w:t>
      </w:r>
      <w:r>
        <w:rPr>
          <w:rFonts w:hint="eastAsia" w:ascii="仿宋" w:hAnsi="仿宋" w:eastAsia="仿宋" w:cs="仿宋"/>
          <w:color w:val="auto"/>
          <w:sz w:val="28"/>
          <w:szCs w:val="28"/>
          <w:highlight w:val="none"/>
          <w:lang w:val="en-US" w:eastAsia="zh-CN"/>
        </w:rPr>
        <w:t>所投分包名称、单位名称、</w:t>
      </w:r>
      <w:r>
        <w:rPr>
          <w:rFonts w:hint="eastAsia" w:ascii="仿宋" w:hAnsi="仿宋" w:eastAsia="仿宋" w:cs="仿宋"/>
          <w:color w:val="auto"/>
          <w:sz w:val="28"/>
          <w:szCs w:val="28"/>
          <w:highlight w:val="none"/>
        </w:rPr>
        <w:t>须</w:t>
      </w:r>
      <w:r>
        <w:rPr>
          <w:rFonts w:hint="eastAsia" w:ascii="仿宋" w:hAnsi="仿宋" w:eastAsia="仿宋" w:cs="仿宋"/>
          <w:color w:val="auto"/>
          <w:sz w:val="28"/>
          <w:szCs w:val="28"/>
          <w:highlight w:val="none"/>
          <w:lang w:val="en-US" w:eastAsia="zh-CN"/>
        </w:rPr>
        <w:t>清晰可见，</w:t>
      </w:r>
      <w:r>
        <w:rPr>
          <w:rFonts w:hint="eastAsia" w:ascii="仿宋" w:hAnsi="仿宋" w:eastAsia="仿宋" w:cs="仿宋"/>
          <w:color w:val="auto"/>
          <w:sz w:val="28"/>
          <w:szCs w:val="28"/>
          <w:highlight w:val="none"/>
        </w:rPr>
        <w:t>简单装订密封。</w:t>
      </w:r>
    </w:p>
    <w:p w14:paraId="6D78BC96">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电子档文件（PDF+WORD形式）放在同一个U盘内，U盘表面请注明公司名称。</w:t>
      </w:r>
    </w:p>
    <w:p w14:paraId="758C90E0">
      <w:pPr>
        <w:pStyle w:val="13"/>
        <w:pageBreakBefore w:val="0"/>
        <w:widowControl w:val="0"/>
        <w:numPr>
          <w:ilvl w:val="0"/>
          <w:numId w:val="0"/>
        </w:numPr>
        <w:kinsoku/>
        <w:wordWrap/>
        <w:overflowPunct/>
        <w:topLinePunct w:val="0"/>
        <w:autoSpaceDE/>
        <w:autoSpaceDN/>
        <w:bidi w:val="0"/>
        <w:adjustRightInd/>
        <w:snapToGrid/>
        <w:spacing w:before="120" w:after="120" w:line="360" w:lineRule="auto"/>
        <w:ind w:left="0" w:leftChars="0" w:firstLine="562" w:firstLineChars="200"/>
        <w:textAlignment w:val="auto"/>
        <w:rPr>
          <w:rFonts w:hint="eastAsia"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lang w:val="en-US" w:eastAsia="zh-CN" w:bidi="ar-SA"/>
        </w:rPr>
        <w:t>九、</w:t>
      </w:r>
      <w:r>
        <w:rPr>
          <w:rFonts w:hint="eastAsia" w:ascii="仿宋" w:hAnsi="仿宋" w:eastAsia="仿宋" w:cs="仿宋"/>
          <w:b/>
          <w:bCs/>
          <w:color w:val="auto"/>
          <w:sz w:val="28"/>
          <w:szCs w:val="28"/>
          <w:highlight w:val="none"/>
        </w:rPr>
        <w:t>其他补充事宜</w:t>
      </w:r>
    </w:p>
    <w:p w14:paraId="05FCB2C6">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粮、食用油、冷鲜肉（猪牛羊鸡鸭鹅）品目8-73项、冷冻制品（含冷冻家禽）、干货调味品、蔬菜品目25-154项、豆制品、奶制品所有的中标供应商在全年服务期限内，根据《南京市建邺区2024-2026学年度中小学、幼儿园大宗食材配送协议供货集中采购》提供的折扣率计算参考价*（1-所投品目平均折扣率），若计算价格低于所投报价，则以“折扣率计算参考价*（1-所投品目平均折扣率）”的价格为执行价；若计算价格高于等于所投报价，则以所投报价的价格为执行价。无论市场如何变动，供应价格按招标文件要求保持不变。</w:t>
      </w:r>
    </w:p>
    <w:p w14:paraId="45769185">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冷鲜肉（猪牛羊鸡鸭鹅）品目1-7项、蔬菜品目1-24项在一定周期内（周），以南京市发改委网站公布的平均价格乘以所报折扣（1-所投品目平均折扣率）作为结算价（结算价以上一周发改委公布的平均价计算），若结算价格高于南京市发改委网站公布的周平均价格*（1-所投品目折扣率）的价格，则按照南京市发改委网站公布的周平均价格*（1-所投品目折扣率）作为结算价，每月底统一结算。</w:t>
      </w:r>
    </w:p>
    <w:p w14:paraId="2C4ECC2D">
      <w:pPr>
        <w:pStyle w:val="13"/>
        <w:pageBreakBefore w:val="0"/>
        <w:widowControl w:val="0"/>
        <w:numPr>
          <w:ilvl w:val="0"/>
          <w:numId w:val="0"/>
        </w:numPr>
        <w:kinsoku/>
        <w:wordWrap/>
        <w:overflowPunct/>
        <w:topLinePunct w:val="0"/>
        <w:autoSpaceDE/>
        <w:autoSpaceDN/>
        <w:bidi w:val="0"/>
        <w:adjustRightInd/>
        <w:snapToGrid/>
        <w:spacing w:before="120" w:after="120" w:line="360" w:lineRule="auto"/>
        <w:ind w:left="0" w:leftChars="0" w:firstLine="562" w:firstLineChars="200"/>
        <w:textAlignment w:val="auto"/>
        <w:rPr>
          <w:rFonts w:hint="eastAsia"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lang w:val="en-US" w:eastAsia="zh-CN" w:bidi="ar-SA"/>
        </w:rPr>
        <w:t>十、</w:t>
      </w:r>
      <w:r>
        <w:rPr>
          <w:rFonts w:hint="eastAsia" w:ascii="仿宋" w:hAnsi="仿宋" w:eastAsia="仿宋" w:cs="仿宋"/>
          <w:b/>
          <w:bCs/>
          <w:color w:val="auto"/>
          <w:sz w:val="28"/>
          <w:szCs w:val="28"/>
          <w:highlight w:val="none"/>
        </w:rPr>
        <w:t>本次采购联系方式</w:t>
      </w:r>
      <w:bookmarkEnd w:id="18"/>
      <w:bookmarkEnd w:id="19"/>
      <w:bookmarkEnd w:id="20"/>
      <w:bookmarkEnd w:id="21"/>
      <w:bookmarkEnd w:id="22"/>
    </w:p>
    <w:p w14:paraId="65DCC29C">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采购代理机构信息</w:t>
      </w:r>
    </w:p>
    <w:p w14:paraId="43C38F4A">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南京众智工程咨询有限公司</w:t>
      </w:r>
    </w:p>
    <w:p w14:paraId="576E800A">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    址：南京市</w:t>
      </w:r>
      <w:r>
        <w:rPr>
          <w:rFonts w:hint="eastAsia" w:ascii="仿宋" w:hAnsi="仿宋" w:eastAsia="仿宋" w:cs="仿宋"/>
          <w:color w:val="auto"/>
          <w:sz w:val="28"/>
          <w:szCs w:val="28"/>
          <w:highlight w:val="none"/>
          <w:lang w:val="en-US" w:eastAsia="zh-CN"/>
        </w:rPr>
        <w:t>鼓楼区郑和中路中海广场</w:t>
      </w:r>
      <w:r>
        <w:rPr>
          <w:rFonts w:hint="eastAsia" w:ascii="仿宋" w:hAnsi="仿宋" w:eastAsia="仿宋" w:cs="仿宋"/>
          <w:color w:val="auto"/>
          <w:sz w:val="28"/>
          <w:szCs w:val="28"/>
          <w:highlight w:val="none"/>
        </w:rPr>
        <w:t>A座</w:t>
      </w:r>
      <w:r>
        <w:rPr>
          <w:rFonts w:hint="eastAsia" w:ascii="仿宋" w:hAnsi="仿宋" w:eastAsia="仿宋" w:cs="仿宋"/>
          <w:color w:val="auto"/>
          <w:sz w:val="28"/>
          <w:szCs w:val="28"/>
          <w:highlight w:val="none"/>
          <w:lang w:val="en-US" w:eastAsia="zh-CN"/>
        </w:rPr>
        <w:t>601-602</w:t>
      </w:r>
    </w:p>
    <w:p w14:paraId="4CCA88C5">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 系 人：</w:t>
      </w:r>
      <w:r>
        <w:rPr>
          <w:rFonts w:hint="eastAsia" w:ascii="仿宋" w:hAnsi="仿宋" w:eastAsia="仿宋" w:cs="仿宋"/>
          <w:color w:val="auto"/>
          <w:sz w:val="28"/>
          <w:szCs w:val="28"/>
          <w:highlight w:val="none"/>
          <w:lang w:val="en-US" w:eastAsia="zh-CN"/>
        </w:rPr>
        <w:t>谭</w:t>
      </w:r>
      <w:r>
        <w:rPr>
          <w:rFonts w:hint="eastAsia" w:ascii="仿宋" w:hAnsi="仿宋" w:eastAsia="仿宋" w:cs="仿宋"/>
          <w:color w:val="auto"/>
          <w:sz w:val="28"/>
          <w:szCs w:val="28"/>
          <w:highlight w:val="none"/>
        </w:rPr>
        <w:t>工</w:t>
      </w:r>
    </w:p>
    <w:p w14:paraId="1030514B">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default" w:ascii="仿宋" w:hAnsi="仿宋" w:eastAsia="仿宋" w:cs="仿宋"/>
          <w:color w:val="auto"/>
          <w:highlight w:val="none"/>
          <w:lang w:val="en-US" w:eastAsia="zh-CN"/>
        </w:rPr>
        <w:sectPr>
          <w:headerReference r:id="rId3" w:type="default"/>
          <w:footerReference r:id="rId4" w:type="default"/>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color w:val="auto"/>
          <w:sz w:val="28"/>
          <w:szCs w:val="28"/>
          <w:highlight w:val="none"/>
        </w:rPr>
        <w:t>联系电话：025-</w:t>
      </w:r>
      <w:r>
        <w:rPr>
          <w:rFonts w:hint="eastAsia" w:ascii="仿宋" w:hAnsi="仿宋" w:eastAsia="仿宋" w:cs="仿宋"/>
          <w:color w:val="auto"/>
          <w:sz w:val="28"/>
          <w:szCs w:val="28"/>
          <w:highlight w:val="none"/>
          <w:lang w:val="en-US" w:eastAsia="zh-CN"/>
        </w:rPr>
        <w:t>52896520-26</w:t>
      </w:r>
    </w:p>
    <w:p w14:paraId="002C5FC1">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附件：报价单（参照建邺区2024-2026大宗食材报价单）</w:t>
      </w:r>
    </w:p>
    <w:p w14:paraId="0D73177D">
      <w:pPr>
        <w:widowControl/>
        <w:spacing w:before="60" w:after="60" w:line="288" w:lineRule="auto"/>
        <w:jc w:val="center"/>
        <w:outlineLvl w:val="2"/>
        <w:rPr>
          <w:rFonts w:hint="eastAsia" w:ascii="仿宋" w:hAnsi="仿宋" w:eastAsia="仿宋" w:cs="仿宋"/>
          <w:b/>
          <w:color w:val="auto"/>
          <w:sz w:val="28"/>
          <w:szCs w:val="30"/>
          <w:highlight w:val="none"/>
        </w:rPr>
      </w:pPr>
      <w:r>
        <w:rPr>
          <w:rFonts w:hint="eastAsia" w:ascii="仿宋" w:hAnsi="仿宋" w:eastAsia="仿宋" w:cs="仿宋"/>
          <w:b/>
          <w:color w:val="auto"/>
          <w:sz w:val="28"/>
          <w:szCs w:val="30"/>
          <w:highlight w:val="none"/>
        </w:rPr>
        <w:t>例：**分包报价单</w:t>
      </w:r>
    </w:p>
    <w:p w14:paraId="5D28D42E">
      <w:pPr>
        <w:widowControl/>
        <w:spacing w:before="40" w:after="40"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（一个报价单、每个品种限1个品牌   单位 500g/1升）</w:t>
      </w:r>
    </w:p>
    <w:tbl>
      <w:tblPr>
        <w:tblStyle w:val="7"/>
        <w:tblW w:w="56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110"/>
        <w:gridCol w:w="1352"/>
        <w:gridCol w:w="1486"/>
        <w:gridCol w:w="1591"/>
        <w:gridCol w:w="1760"/>
        <w:gridCol w:w="1760"/>
        <w:gridCol w:w="1760"/>
        <w:gridCol w:w="1700"/>
        <w:gridCol w:w="1604"/>
        <w:gridCol w:w="1146"/>
      </w:tblGrid>
      <w:tr w14:paraId="5F17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8" w:type="pct"/>
            <w:vAlign w:val="center"/>
          </w:tcPr>
          <w:p w14:paraId="603AF2F4">
            <w:pPr>
              <w:widowControl/>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48" w:type="pct"/>
            <w:vAlign w:val="center"/>
          </w:tcPr>
          <w:p w14:paraId="61024A3F">
            <w:pPr>
              <w:widowControl/>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品名</w:t>
            </w:r>
          </w:p>
        </w:tc>
        <w:tc>
          <w:tcPr>
            <w:tcW w:w="424" w:type="pct"/>
            <w:vAlign w:val="center"/>
          </w:tcPr>
          <w:p w14:paraId="2CE738D9">
            <w:pPr>
              <w:widowControl/>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品牌</w:t>
            </w:r>
          </w:p>
          <w:p w14:paraId="61291F78">
            <w:pPr>
              <w:widowControl/>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（须与入围品牌一致）</w:t>
            </w:r>
          </w:p>
        </w:tc>
        <w:tc>
          <w:tcPr>
            <w:tcW w:w="466" w:type="pct"/>
            <w:vAlign w:val="center"/>
          </w:tcPr>
          <w:p w14:paraId="09EB1228">
            <w:pPr>
              <w:widowControl/>
              <w:spacing w:line="288" w:lineRule="auto"/>
              <w:jc w:val="center"/>
              <w:rPr>
                <w:rFonts w:hint="eastAsia" w:ascii="仿宋" w:hAnsi="仿宋" w:eastAsia="仿宋" w:cs="仿宋"/>
                <w:bCs/>
                <w:color w:val="auto"/>
                <w:highlight w:val="none"/>
              </w:rPr>
            </w:pPr>
            <w:r>
              <w:rPr>
                <w:rFonts w:hint="eastAsia" w:ascii="仿宋" w:hAnsi="仿宋" w:eastAsia="仿宋" w:cs="仿宋"/>
                <w:bCs/>
                <w:color w:val="auto"/>
                <w:highlight w:val="none"/>
              </w:rPr>
              <w:t>生产厂家</w:t>
            </w:r>
          </w:p>
          <w:p w14:paraId="0C6771DE">
            <w:pPr>
              <w:widowControl/>
              <w:spacing w:line="288" w:lineRule="auto"/>
              <w:jc w:val="center"/>
              <w:rPr>
                <w:rFonts w:hint="eastAsia" w:ascii="仿宋" w:hAnsi="仿宋" w:eastAsia="仿宋" w:cs="仿宋"/>
                <w:bCs/>
                <w:color w:val="auto"/>
                <w:highlight w:val="none"/>
              </w:rPr>
            </w:pPr>
            <w:r>
              <w:rPr>
                <w:rFonts w:hint="eastAsia" w:ascii="仿宋" w:hAnsi="仿宋" w:eastAsia="仿宋" w:cs="仿宋"/>
                <w:bCs/>
                <w:color w:val="auto"/>
                <w:highlight w:val="none"/>
              </w:rPr>
              <w:t>（须与入围生产厂家一致）</w:t>
            </w:r>
          </w:p>
        </w:tc>
        <w:tc>
          <w:tcPr>
            <w:tcW w:w="499" w:type="pct"/>
            <w:vAlign w:val="center"/>
          </w:tcPr>
          <w:p w14:paraId="2933C42C">
            <w:pPr>
              <w:widowControl/>
              <w:spacing w:line="288" w:lineRule="auto"/>
              <w:jc w:val="center"/>
              <w:rPr>
                <w:rFonts w:hint="eastAsia" w:ascii="仿宋" w:hAnsi="仿宋" w:eastAsia="仿宋" w:cs="仿宋"/>
                <w:bCs/>
                <w:color w:val="auto"/>
                <w:highlight w:val="none"/>
              </w:rPr>
            </w:pPr>
            <w:r>
              <w:rPr>
                <w:rFonts w:hint="eastAsia" w:ascii="仿宋" w:hAnsi="仿宋" w:eastAsia="仿宋" w:cs="仿宋"/>
                <w:bCs/>
                <w:color w:val="auto"/>
                <w:highlight w:val="none"/>
              </w:rPr>
              <w:t>折扣率计算参考价（元）</w:t>
            </w:r>
          </w:p>
        </w:tc>
        <w:tc>
          <w:tcPr>
            <w:tcW w:w="552" w:type="pct"/>
            <w:vAlign w:val="center"/>
          </w:tcPr>
          <w:p w14:paraId="20B60A8C">
            <w:pPr>
              <w:spacing w:line="288" w:lineRule="auto"/>
              <w:jc w:val="center"/>
              <w:rPr>
                <w:rFonts w:hint="eastAsia" w:ascii="仿宋" w:hAnsi="仿宋" w:eastAsia="仿宋" w:cs="仿宋"/>
                <w:bCs/>
                <w:color w:val="auto"/>
                <w:highlight w:val="none"/>
              </w:rPr>
            </w:pPr>
            <w:r>
              <w:rPr>
                <w:rFonts w:hint="eastAsia" w:ascii="仿宋" w:hAnsi="仿宋" w:eastAsia="仿宋" w:cs="仿宋"/>
                <w:bCs/>
                <w:color w:val="auto"/>
                <w:highlight w:val="none"/>
              </w:rPr>
              <w:t>入围报价（元）</w:t>
            </w:r>
          </w:p>
        </w:tc>
        <w:tc>
          <w:tcPr>
            <w:tcW w:w="552" w:type="pct"/>
            <w:vAlign w:val="center"/>
          </w:tcPr>
          <w:p w14:paraId="690BEA9D">
            <w:pPr>
              <w:spacing w:line="288" w:lineRule="auto"/>
              <w:jc w:val="center"/>
              <w:rPr>
                <w:rFonts w:hint="eastAsia" w:ascii="仿宋" w:hAnsi="仿宋" w:eastAsia="仿宋" w:cs="仿宋"/>
                <w:bCs/>
                <w:color w:val="auto"/>
                <w:highlight w:val="none"/>
              </w:rPr>
            </w:pPr>
            <w:r>
              <w:rPr>
                <w:rFonts w:hint="eastAsia" w:ascii="仿宋" w:hAnsi="仿宋" w:eastAsia="仿宋" w:cs="仿宋"/>
                <w:bCs/>
                <w:color w:val="auto"/>
                <w:highlight w:val="none"/>
              </w:rPr>
              <w:t>入围折扣率（%）</w:t>
            </w:r>
          </w:p>
        </w:tc>
        <w:tc>
          <w:tcPr>
            <w:tcW w:w="552" w:type="pct"/>
            <w:vAlign w:val="center"/>
          </w:tcPr>
          <w:p w14:paraId="324635B9">
            <w:pPr>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二次采购报价（元）</w:t>
            </w:r>
          </w:p>
        </w:tc>
        <w:tc>
          <w:tcPr>
            <w:tcW w:w="533" w:type="pct"/>
            <w:vAlign w:val="center"/>
          </w:tcPr>
          <w:p w14:paraId="15F22A2B">
            <w:pPr>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二次折扣率（%）</w:t>
            </w:r>
          </w:p>
        </w:tc>
        <w:tc>
          <w:tcPr>
            <w:tcW w:w="503" w:type="pct"/>
            <w:vAlign w:val="center"/>
          </w:tcPr>
          <w:p w14:paraId="78887CEE">
            <w:pPr>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二次平均折扣率</w:t>
            </w:r>
          </w:p>
        </w:tc>
        <w:tc>
          <w:tcPr>
            <w:tcW w:w="359" w:type="pct"/>
            <w:vAlign w:val="center"/>
          </w:tcPr>
          <w:p w14:paraId="0772FFAF">
            <w:pPr>
              <w:widowControl/>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5D9C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14:paraId="597753FB">
            <w:pPr>
              <w:widowControl/>
              <w:spacing w:line="288" w:lineRule="auto"/>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bidi="ar"/>
              </w:rPr>
              <w:t>1</w:t>
            </w:r>
          </w:p>
        </w:tc>
        <w:tc>
          <w:tcPr>
            <w:tcW w:w="348" w:type="pct"/>
            <w:vAlign w:val="center"/>
          </w:tcPr>
          <w:p w14:paraId="30ABD195">
            <w:pP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例：一级大米</w:t>
            </w:r>
          </w:p>
        </w:tc>
        <w:tc>
          <w:tcPr>
            <w:tcW w:w="424" w:type="pct"/>
            <w:vAlign w:val="center"/>
          </w:tcPr>
          <w:p w14:paraId="79C5BB46">
            <w:pPr>
              <w:spacing w:line="288" w:lineRule="auto"/>
              <w:jc w:val="center"/>
              <w:rPr>
                <w:rFonts w:hint="eastAsia" w:ascii="仿宋" w:hAnsi="仿宋" w:eastAsia="仿宋" w:cs="仿宋"/>
                <w:color w:val="auto"/>
                <w:highlight w:val="none"/>
              </w:rPr>
            </w:pPr>
          </w:p>
        </w:tc>
        <w:tc>
          <w:tcPr>
            <w:tcW w:w="466" w:type="pct"/>
            <w:vAlign w:val="center"/>
          </w:tcPr>
          <w:p w14:paraId="45342B43">
            <w:pPr>
              <w:widowControl/>
              <w:spacing w:line="288" w:lineRule="auto"/>
              <w:jc w:val="center"/>
              <w:rPr>
                <w:rFonts w:hint="eastAsia" w:ascii="仿宋" w:hAnsi="仿宋" w:eastAsia="仿宋" w:cs="仿宋"/>
                <w:bCs/>
                <w:color w:val="auto"/>
                <w:highlight w:val="none"/>
              </w:rPr>
            </w:pPr>
          </w:p>
        </w:tc>
        <w:tc>
          <w:tcPr>
            <w:tcW w:w="499" w:type="pct"/>
            <w:vAlign w:val="center"/>
          </w:tcPr>
          <w:p w14:paraId="1DDC671E">
            <w:pPr>
              <w:widowControl/>
              <w:spacing w:line="288" w:lineRule="auto"/>
              <w:jc w:val="center"/>
              <w:textAlignment w:val="center"/>
              <w:rPr>
                <w:rFonts w:hint="eastAsia" w:ascii="仿宋" w:hAnsi="仿宋" w:eastAsia="仿宋" w:cs="仿宋"/>
                <w:bCs/>
                <w:color w:val="auto"/>
                <w:highlight w:val="none"/>
              </w:rPr>
            </w:pPr>
            <w:r>
              <w:rPr>
                <w:rFonts w:hint="eastAsia" w:ascii="仿宋" w:hAnsi="仿宋" w:eastAsia="仿宋" w:cs="仿宋"/>
                <w:color w:val="auto"/>
                <w:highlight w:val="none"/>
                <w:lang w:bidi="ar"/>
              </w:rPr>
              <w:t>例：2.8</w:t>
            </w:r>
          </w:p>
        </w:tc>
        <w:tc>
          <w:tcPr>
            <w:tcW w:w="552" w:type="pct"/>
            <w:vAlign w:val="center"/>
          </w:tcPr>
          <w:p w14:paraId="5DFC95D0">
            <w:pPr>
              <w:spacing w:line="288" w:lineRule="auto"/>
              <w:jc w:val="center"/>
              <w:rPr>
                <w:rFonts w:hint="eastAsia" w:ascii="仿宋" w:hAnsi="仿宋" w:eastAsia="仿宋" w:cs="仿宋"/>
                <w:bCs/>
                <w:color w:val="auto"/>
                <w:highlight w:val="none"/>
              </w:rPr>
            </w:pPr>
          </w:p>
        </w:tc>
        <w:tc>
          <w:tcPr>
            <w:tcW w:w="552" w:type="pct"/>
            <w:vAlign w:val="center"/>
          </w:tcPr>
          <w:p w14:paraId="52582CBD">
            <w:pPr>
              <w:spacing w:line="288" w:lineRule="auto"/>
              <w:jc w:val="center"/>
              <w:rPr>
                <w:rFonts w:hint="eastAsia" w:ascii="仿宋" w:hAnsi="仿宋" w:eastAsia="仿宋" w:cs="仿宋"/>
                <w:bCs/>
                <w:color w:val="auto"/>
                <w:highlight w:val="none"/>
              </w:rPr>
            </w:pPr>
          </w:p>
        </w:tc>
        <w:tc>
          <w:tcPr>
            <w:tcW w:w="552" w:type="pct"/>
            <w:vAlign w:val="center"/>
          </w:tcPr>
          <w:p w14:paraId="7B107D5C">
            <w:pPr>
              <w:spacing w:line="288" w:lineRule="auto"/>
              <w:jc w:val="center"/>
              <w:rPr>
                <w:rFonts w:hint="eastAsia" w:ascii="仿宋" w:hAnsi="仿宋" w:eastAsia="仿宋" w:cs="仿宋"/>
                <w:bCs/>
                <w:color w:val="auto"/>
                <w:highlight w:val="none"/>
              </w:rPr>
            </w:pPr>
          </w:p>
        </w:tc>
        <w:tc>
          <w:tcPr>
            <w:tcW w:w="533" w:type="pct"/>
            <w:vAlign w:val="center"/>
          </w:tcPr>
          <w:p w14:paraId="246F1A72">
            <w:pPr>
              <w:spacing w:line="288" w:lineRule="auto"/>
              <w:jc w:val="center"/>
              <w:rPr>
                <w:rFonts w:hint="eastAsia" w:ascii="仿宋" w:hAnsi="仿宋" w:eastAsia="仿宋" w:cs="仿宋"/>
                <w:bCs/>
                <w:color w:val="auto"/>
                <w:highlight w:val="none"/>
              </w:rPr>
            </w:pPr>
          </w:p>
        </w:tc>
        <w:tc>
          <w:tcPr>
            <w:tcW w:w="503" w:type="pct"/>
            <w:vMerge w:val="restart"/>
            <w:vAlign w:val="center"/>
          </w:tcPr>
          <w:p w14:paraId="4B3D5591">
            <w:pPr>
              <w:spacing w:line="288" w:lineRule="auto"/>
              <w:jc w:val="center"/>
              <w:rPr>
                <w:rFonts w:hint="eastAsia" w:ascii="仿宋" w:hAnsi="仿宋" w:eastAsia="仿宋" w:cs="仿宋"/>
                <w:bCs/>
                <w:color w:val="auto"/>
                <w:highlight w:val="none"/>
              </w:rPr>
            </w:pPr>
          </w:p>
        </w:tc>
        <w:tc>
          <w:tcPr>
            <w:tcW w:w="359" w:type="pct"/>
            <w:vAlign w:val="center"/>
          </w:tcPr>
          <w:p w14:paraId="5D80AB5B">
            <w:pPr>
              <w:widowControl/>
              <w:spacing w:line="288" w:lineRule="auto"/>
              <w:jc w:val="center"/>
              <w:rPr>
                <w:rFonts w:hint="eastAsia" w:ascii="仿宋" w:hAnsi="仿宋" w:eastAsia="仿宋" w:cs="仿宋"/>
                <w:color w:val="auto"/>
                <w:highlight w:val="none"/>
              </w:rPr>
            </w:pPr>
          </w:p>
        </w:tc>
      </w:tr>
      <w:tr w14:paraId="5618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8" w:type="pct"/>
            <w:vAlign w:val="center"/>
          </w:tcPr>
          <w:p w14:paraId="63B81F91">
            <w:pPr>
              <w:widowControl/>
              <w:spacing w:line="288" w:lineRule="auto"/>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bidi="ar"/>
              </w:rPr>
              <w:t>2</w:t>
            </w:r>
          </w:p>
        </w:tc>
        <w:tc>
          <w:tcPr>
            <w:tcW w:w="348" w:type="pct"/>
            <w:vAlign w:val="center"/>
          </w:tcPr>
          <w:p w14:paraId="0D4C51C5">
            <w:pP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bidi="ar"/>
              </w:rPr>
              <w:t>例：</w:t>
            </w:r>
            <w:r>
              <w:rPr>
                <w:rFonts w:hint="eastAsia" w:ascii="仿宋" w:hAnsi="仿宋" w:eastAsia="仿宋" w:cs="仿宋"/>
                <w:color w:val="auto"/>
                <w:highlight w:val="none"/>
              </w:rPr>
              <w:t>优质一级大米</w:t>
            </w:r>
          </w:p>
        </w:tc>
        <w:tc>
          <w:tcPr>
            <w:tcW w:w="424" w:type="pct"/>
            <w:vAlign w:val="center"/>
          </w:tcPr>
          <w:p w14:paraId="65F11018">
            <w:pPr>
              <w:spacing w:line="288" w:lineRule="auto"/>
              <w:jc w:val="center"/>
              <w:rPr>
                <w:rFonts w:hint="eastAsia" w:ascii="仿宋" w:hAnsi="仿宋" w:eastAsia="仿宋" w:cs="仿宋"/>
                <w:color w:val="auto"/>
                <w:highlight w:val="none"/>
              </w:rPr>
            </w:pPr>
          </w:p>
        </w:tc>
        <w:tc>
          <w:tcPr>
            <w:tcW w:w="466" w:type="pct"/>
            <w:vAlign w:val="center"/>
          </w:tcPr>
          <w:p w14:paraId="2AF1C343">
            <w:pPr>
              <w:widowControl/>
              <w:spacing w:line="288" w:lineRule="auto"/>
              <w:jc w:val="center"/>
              <w:rPr>
                <w:rFonts w:hint="eastAsia" w:ascii="仿宋" w:hAnsi="仿宋" w:eastAsia="仿宋" w:cs="仿宋"/>
                <w:bCs/>
                <w:color w:val="auto"/>
                <w:highlight w:val="none"/>
              </w:rPr>
            </w:pPr>
          </w:p>
        </w:tc>
        <w:tc>
          <w:tcPr>
            <w:tcW w:w="499" w:type="pct"/>
            <w:vAlign w:val="center"/>
          </w:tcPr>
          <w:p w14:paraId="5AFD9CAC">
            <w:pPr>
              <w:widowControl/>
              <w:spacing w:line="288" w:lineRule="auto"/>
              <w:jc w:val="center"/>
              <w:textAlignment w:val="center"/>
              <w:rPr>
                <w:rFonts w:hint="eastAsia" w:ascii="仿宋" w:hAnsi="仿宋" w:eastAsia="仿宋" w:cs="仿宋"/>
                <w:bCs/>
                <w:color w:val="auto"/>
                <w:highlight w:val="none"/>
              </w:rPr>
            </w:pPr>
            <w:r>
              <w:rPr>
                <w:rFonts w:hint="eastAsia" w:ascii="仿宋" w:hAnsi="仿宋" w:eastAsia="仿宋" w:cs="仿宋"/>
                <w:color w:val="auto"/>
                <w:highlight w:val="none"/>
                <w:lang w:bidi="ar"/>
              </w:rPr>
              <w:t>例：3.5</w:t>
            </w:r>
          </w:p>
        </w:tc>
        <w:tc>
          <w:tcPr>
            <w:tcW w:w="552" w:type="pct"/>
            <w:vAlign w:val="center"/>
          </w:tcPr>
          <w:p w14:paraId="3D31D2E8">
            <w:pPr>
              <w:spacing w:line="288" w:lineRule="auto"/>
              <w:jc w:val="center"/>
              <w:rPr>
                <w:rFonts w:hint="eastAsia" w:ascii="仿宋" w:hAnsi="仿宋" w:eastAsia="仿宋" w:cs="仿宋"/>
                <w:bCs/>
                <w:color w:val="auto"/>
                <w:highlight w:val="none"/>
              </w:rPr>
            </w:pPr>
          </w:p>
        </w:tc>
        <w:tc>
          <w:tcPr>
            <w:tcW w:w="552" w:type="pct"/>
            <w:vAlign w:val="center"/>
          </w:tcPr>
          <w:p w14:paraId="1F7CA21A">
            <w:pPr>
              <w:spacing w:line="288" w:lineRule="auto"/>
              <w:jc w:val="center"/>
              <w:rPr>
                <w:rFonts w:hint="eastAsia" w:ascii="仿宋" w:hAnsi="仿宋" w:eastAsia="仿宋" w:cs="仿宋"/>
                <w:bCs/>
                <w:color w:val="auto"/>
                <w:highlight w:val="none"/>
              </w:rPr>
            </w:pPr>
          </w:p>
        </w:tc>
        <w:tc>
          <w:tcPr>
            <w:tcW w:w="552" w:type="pct"/>
            <w:vAlign w:val="center"/>
          </w:tcPr>
          <w:p w14:paraId="57270775">
            <w:pPr>
              <w:spacing w:line="288" w:lineRule="auto"/>
              <w:jc w:val="center"/>
              <w:rPr>
                <w:rFonts w:hint="eastAsia" w:ascii="仿宋" w:hAnsi="仿宋" w:eastAsia="仿宋" w:cs="仿宋"/>
                <w:bCs/>
                <w:color w:val="auto"/>
                <w:highlight w:val="none"/>
              </w:rPr>
            </w:pPr>
          </w:p>
        </w:tc>
        <w:tc>
          <w:tcPr>
            <w:tcW w:w="533" w:type="pct"/>
            <w:vAlign w:val="center"/>
          </w:tcPr>
          <w:p w14:paraId="03258C75">
            <w:pPr>
              <w:spacing w:line="288" w:lineRule="auto"/>
              <w:jc w:val="center"/>
              <w:rPr>
                <w:rFonts w:hint="eastAsia" w:ascii="仿宋" w:hAnsi="仿宋" w:eastAsia="仿宋" w:cs="仿宋"/>
                <w:bCs/>
                <w:color w:val="auto"/>
                <w:highlight w:val="none"/>
              </w:rPr>
            </w:pPr>
          </w:p>
        </w:tc>
        <w:tc>
          <w:tcPr>
            <w:tcW w:w="503" w:type="pct"/>
            <w:vMerge w:val="continue"/>
            <w:vAlign w:val="center"/>
          </w:tcPr>
          <w:p w14:paraId="11CA75C6">
            <w:pPr>
              <w:spacing w:line="288" w:lineRule="auto"/>
              <w:jc w:val="center"/>
              <w:rPr>
                <w:rFonts w:hint="eastAsia" w:ascii="仿宋" w:hAnsi="仿宋" w:eastAsia="仿宋" w:cs="仿宋"/>
                <w:bCs/>
                <w:color w:val="auto"/>
                <w:highlight w:val="none"/>
              </w:rPr>
            </w:pPr>
          </w:p>
        </w:tc>
        <w:tc>
          <w:tcPr>
            <w:tcW w:w="359" w:type="pct"/>
            <w:vAlign w:val="center"/>
          </w:tcPr>
          <w:p w14:paraId="18854AF4">
            <w:pPr>
              <w:widowControl/>
              <w:spacing w:line="288" w:lineRule="auto"/>
              <w:jc w:val="center"/>
              <w:rPr>
                <w:rFonts w:hint="eastAsia" w:ascii="仿宋" w:hAnsi="仿宋" w:eastAsia="仿宋" w:cs="仿宋"/>
                <w:color w:val="auto"/>
                <w:highlight w:val="none"/>
              </w:rPr>
            </w:pPr>
          </w:p>
        </w:tc>
      </w:tr>
      <w:tr w14:paraId="7C2A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14:paraId="0E1F8EA3">
            <w:pPr>
              <w:widowControl/>
              <w:spacing w:line="288" w:lineRule="auto"/>
              <w:jc w:val="center"/>
              <w:textAlignment w:val="center"/>
              <w:rPr>
                <w:rFonts w:hint="eastAsia" w:ascii="仿宋" w:hAnsi="仿宋" w:eastAsia="仿宋" w:cs="仿宋"/>
                <w:color w:val="auto"/>
                <w:highlight w:val="none"/>
              </w:rPr>
            </w:pPr>
          </w:p>
        </w:tc>
        <w:tc>
          <w:tcPr>
            <w:tcW w:w="348" w:type="pct"/>
            <w:vAlign w:val="center"/>
          </w:tcPr>
          <w:p w14:paraId="21C36C52">
            <w:pP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424" w:type="pct"/>
            <w:vAlign w:val="center"/>
          </w:tcPr>
          <w:p w14:paraId="338732DE">
            <w:pPr>
              <w:spacing w:line="288" w:lineRule="auto"/>
              <w:jc w:val="center"/>
              <w:rPr>
                <w:rFonts w:hint="eastAsia" w:ascii="仿宋" w:hAnsi="仿宋" w:eastAsia="仿宋" w:cs="仿宋"/>
                <w:color w:val="auto"/>
                <w:highlight w:val="none"/>
              </w:rPr>
            </w:pPr>
          </w:p>
        </w:tc>
        <w:tc>
          <w:tcPr>
            <w:tcW w:w="466" w:type="pct"/>
          </w:tcPr>
          <w:p w14:paraId="3F908FAE">
            <w:pPr>
              <w:widowControl/>
              <w:spacing w:line="288" w:lineRule="auto"/>
              <w:jc w:val="center"/>
              <w:rPr>
                <w:rFonts w:hint="eastAsia" w:ascii="仿宋" w:hAnsi="仿宋" w:eastAsia="仿宋" w:cs="仿宋"/>
                <w:bCs/>
                <w:color w:val="auto"/>
                <w:highlight w:val="none"/>
              </w:rPr>
            </w:pPr>
          </w:p>
        </w:tc>
        <w:tc>
          <w:tcPr>
            <w:tcW w:w="499" w:type="pct"/>
          </w:tcPr>
          <w:p w14:paraId="7CE845BF">
            <w:pPr>
              <w:widowControl/>
              <w:spacing w:line="288" w:lineRule="auto"/>
              <w:jc w:val="center"/>
              <w:textAlignment w:val="top"/>
              <w:rPr>
                <w:rFonts w:hint="eastAsia" w:ascii="仿宋" w:hAnsi="仿宋" w:eastAsia="仿宋" w:cs="仿宋"/>
                <w:bCs/>
                <w:color w:val="auto"/>
                <w:highlight w:val="none"/>
              </w:rPr>
            </w:pPr>
          </w:p>
        </w:tc>
        <w:tc>
          <w:tcPr>
            <w:tcW w:w="552" w:type="pct"/>
          </w:tcPr>
          <w:p w14:paraId="639578CB">
            <w:pPr>
              <w:spacing w:line="288" w:lineRule="auto"/>
              <w:jc w:val="center"/>
              <w:rPr>
                <w:rFonts w:hint="eastAsia" w:ascii="仿宋" w:hAnsi="仿宋" w:eastAsia="仿宋" w:cs="仿宋"/>
                <w:bCs/>
                <w:color w:val="auto"/>
                <w:highlight w:val="none"/>
              </w:rPr>
            </w:pPr>
          </w:p>
        </w:tc>
        <w:tc>
          <w:tcPr>
            <w:tcW w:w="552" w:type="pct"/>
          </w:tcPr>
          <w:p w14:paraId="1C8D8801">
            <w:pPr>
              <w:spacing w:line="288" w:lineRule="auto"/>
              <w:jc w:val="center"/>
              <w:rPr>
                <w:rFonts w:hint="eastAsia" w:ascii="仿宋" w:hAnsi="仿宋" w:eastAsia="仿宋" w:cs="仿宋"/>
                <w:bCs/>
                <w:color w:val="auto"/>
                <w:highlight w:val="none"/>
              </w:rPr>
            </w:pPr>
          </w:p>
        </w:tc>
        <w:tc>
          <w:tcPr>
            <w:tcW w:w="552" w:type="pct"/>
          </w:tcPr>
          <w:p w14:paraId="37467281">
            <w:pPr>
              <w:spacing w:line="288" w:lineRule="auto"/>
              <w:jc w:val="center"/>
              <w:rPr>
                <w:rFonts w:hint="eastAsia" w:ascii="仿宋" w:hAnsi="仿宋" w:eastAsia="仿宋" w:cs="仿宋"/>
                <w:bCs/>
                <w:color w:val="auto"/>
                <w:highlight w:val="none"/>
              </w:rPr>
            </w:pPr>
          </w:p>
        </w:tc>
        <w:tc>
          <w:tcPr>
            <w:tcW w:w="533" w:type="pct"/>
          </w:tcPr>
          <w:p w14:paraId="73DD1835">
            <w:pPr>
              <w:spacing w:line="288" w:lineRule="auto"/>
              <w:jc w:val="center"/>
              <w:rPr>
                <w:rFonts w:hint="eastAsia" w:ascii="仿宋" w:hAnsi="仿宋" w:eastAsia="仿宋" w:cs="仿宋"/>
                <w:bCs/>
                <w:color w:val="auto"/>
                <w:highlight w:val="none"/>
              </w:rPr>
            </w:pPr>
          </w:p>
        </w:tc>
        <w:tc>
          <w:tcPr>
            <w:tcW w:w="503" w:type="pct"/>
            <w:vMerge w:val="continue"/>
          </w:tcPr>
          <w:p w14:paraId="692BA3B0">
            <w:pPr>
              <w:spacing w:line="288" w:lineRule="auto"/>
              <w:jc w:val="center"/>
              <w:rPr>
                <w:rFonts w:hint="eastAsia" w:ascii="仿宋" w:hAnsi="仿宋" w:eastAsia="仿宋" w:cs="仿宋"/>
                <w:bCs/>
                <w:color w:val="auto"/>
                <w:highlight w:val="none"/>
              </w:rPr>
            </w:pPr>
          </w:p>
        </w:tc>
        <w:tc>
          <w:tcPr>
            <w:tcW w:w="359" w:type="pct"/>
          </w:tcPr>
          <w:p w14:paraId="4FC1D540">
            <w:pPr>
              <w:widowControl/>
              <w:spacing w:line="288" w:lineRule="auto"/>
              <w:jc w:val="center"/>
              <w:rPr>
                <w:rFonts w:hint="eastAsia" w:ascii="仿宋" w:hAnsi="仿宋" w:eastAsia="仿宋" w:cs="仿宋"/>
                <w:color w:val="auto"/>
                <w:highlight w:val="none"/>
              </w:rPr>
            </w:pPr>
          </w:p>
        </w:tc>
      </w:tr>
      <w:tr w14:paraId="1F0E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14:paraId="70EC7F3F">
            <w:pPr>
              <w:widowControl/>
              <w:spacing w:line="288" w:lineRule="auto"/>
              <w:jc w:val="center"/>
              <w:textAlignment w:val="center"/>
              <w:rPr>
                <w:rFonts w:hint="eastAsia" w:ascii="仿宋" w:hAnsi="仿宋" w:eastAsia="仿宋" w:cs="仿宋"/>
                <w:color w:val="auto"/>
                <w:highlight w:val="none"/>
              </w:rPr>
            </w:pPr>
          </w:p>
        </w:tc>
        <w:tc>
          <w:tcPr>
            <w:tcW w:w="348" w:type="pct"/>
            <w:vAlign w:val="center"/>
          </w:tcPr>
          <w:p w14:paraId="370FD91C">
            <w:pPr>
              <w:spacing w:line="288" w:lineRule="auto"/>
              <w:jc w:val="center"/>
              <w:rPr>
                <w:rFonts w:hint="eastAsia" w:ascii="仿宋" w:hAnsi="仿宋" w:eastAsia="仿宋" w:cs="仿宋"/>
                <w:color w:val="auto"/>
                <w:highlight w:val="none"/>
              </w:rPr>
            </w:pPr>
          </w:p>
        </w:tc>
        <w:tc>
          <w:tcPr>
            <w:tcW w:w="424" w:type="pct"/>
            <w:vAlign w:val="center"/>
          </w:tcPr>
          <w:p w14:paraId="5BB50F3B">
            <w:pPr>
              <w:spacing w:line="288" w:lineRule="auto"/>
              <w:jc w:val="center"/>
              <w:rPr>
                <w:rFonts w:hint="eastAsia" w:ascii="仿宋" w:hAnsi="仿宋" w:eastAsia="仿宋" w:cs="仿宋"/>
                <w:color w:val="auto"/>
                <w:highlight w:val="none"/>
              </w:rPr>
            </w:pPr>
          </w:p>
        </w:tc>
        <w:tc>
          <w:tcPr>
            <w:tcW w:w="466" w:type="pct"/>
          </w:tcPr>
          <w:p w14:paraId="3342E110">
            <w:pPr>
              <w:widowControl/>
              <w:spacing w:line="288" w:lineRule="auto"/>
              <w:jc w:val="center"/>
              <w:rPr>
                <w:rFonts w:hint="eastAsia" w:ascii="仿宋" w:hAnsi="仿宋" w:eastAsia="仿宋" w:cs="仿宋"/>
                <w:bCs/>
                <w:color w:val="auto"/>
                <w:highlight w:val="none"/>
              </w:rPr>
            </w:pPr>
          </w:p>
        </w:tc>
        <w:tc>
          <w:tcPr>
            <w:tcW w:w="499" w:type="pct"/>
          </w:tcPr>
          <w:p w14:paraId="19B642A8">
            <w:pPr>
              <w:widowControl/>
              <w:spacing w:line="288" w:lineRule="auto"/>
              <w:jc w:val="center"/>
              <w:textAlignment w:val="top"/>
              <w:rPr>
                <w:rFonts w:hint="eastAsia" w:ascii="仿宋" w:hAnsi="仿宋" w:eastAsia="仿宋" w:cs="仿宋"/>
                <w:bCs/>
                <w:color w:val="auto"/>
                <w:highlight w:val="none"/>
              </w:rPr>
            </w:pPr>
          </w:p>
        </w:tc>
        <w:tc>
          <w:tcPr>
            <w:tcW w:w="552" w:type="pct"/>
          </w:tcPr>
          <w:p w14:paraId="02E233D8">
            <w:pPr>
              <w:spacing w:line="288" w:lineRule="auto"/>
              <w:jc w:val="center"/>
              <w:rPr>
                <w:rFonts w:hint="eastAsia" w:ascii="仿宋" w:hAnsi="仿宋" w:eastAsia="仿宋" w:cs="仿宋"/>
                <w:bCs/>
                <w:color w:val="auto"/>
                <w:highlight w:val="none"/>
              </w:rPr>
            </w:pPr>
          </w:p>
        </w:tc>
        <w:tc>
          <w:tcPr>
            <w:tcW w:w="552" w:type="pct"/>
          </w:tcPr>
          <w:p w14:paraId="0848A184">
            <w:pPr>
              <w:spacing w:line="288" w:lineRule="auto"/>
              <w:jc w:val="center"/>
              <w:rPr>
                <w:rFonts w:hint="eastAsia" w:ascii="仿宋" w:hAnsi="仿宋" w:eastAsia="仿宋" w:cs="仿宋"/>
                <w:bCs/>
                <w:color w:val="auto"/>
                <w:highlight w:val="none"/>
              </w:rPr>
            </w:pPr>
          </w:p>
        </w:tc>
        <w:tc>
          <w:tcPr>
            <w:tcW w:w="552" w:type="pct"/>
          </w:tcPr>
          <w:p w14:paraId="50E0DC1E">
            <w:pPr>
              <w:spacing w:line="288" w:lineRule="auto"/>
              <w:jc w:val="center"/>
              <w:rPr>
                <w:rFonts w:hint="eastAsia" w:ascii="仿宋" w:hAnsi="仿宋" w:eastAsia="仿宋" w:cs="仿宋"/>
                <w:bCs/>
                <w:color w:val="auto"/>
                <w:highlight w:val="none"/>
              </w:rPr>
            </w:pPr>
          </w:p>
        </w:tc>
        <w:tc>
          <w:tcPr>
            <w:tcW w:w="533" w:type="pct"/>
          </w:tcPr>
          <w:p w14:paraId="113094E9">
            <w:pPr>
              <w:spacing w:line="288" w:lineRule="auto"/>
              <w:jc w:val="center"/>
              <w:rPr>
                <w:rFonts w:hint="eastAsia" w:ascii="仿宋" w:hAnsi="仿宋" w:eastAsia="仿宋" w:cs="仿宋"/>
                <w:bCs/>
                <w:color w:val="auto"/>
                <w:highlight w:val="none"/>
              </w:rPr>
            </w:pPr>
          </w:p>
        </w:tc>
        <w:tc>
          <w:tcPr>
            <w:tcW w:w="503" w:type="pct"/>
            <w:vMerge w:val="continue"/>
          </w:tcPr>
          <w:p w14:paraId="0B64992D">
            <w:pPr>
              <w:spacing w:line="288" w:lineRule="auto"/>
              <w:jc w:val="center"/>
              <w:rPr>
                <w:rFonts w:hint="eastAsia" w:ascii="仿宋" w:hAnsi="仿宋" w:eastAsia="仿宋" w:cs="仿宋"/>
                <w:bCs/>
                <w:color w:val="auto"/>
                <w:highlight w:val="none"/>
              </w:rPr>
            </w:pPr>
          </w:p>
        </w:tc>
        <w:tc>
          <w:tcPr>
            <w:tcW w:w="359" w:type="pct"/>
          </w:tcPr>
          <w:p w14:paraId="1E5E80CD">
            <w:pPr>
              <w:widowControl/>
              <w:spacing w:line="288" w:lineRule="auto"/>
              <w:jc w:val="center"/>
              <w:rPr>
                <w:rFonts w:hint="eastAsia" w:ascii="仿宋" w:hAnsi="仿宋" w:eastAsia="仿宋" w:cs="仿宋"/>
                <w:color w:val="auto"/>
                <w:highlight w:val="none"/>
              </w:rPr>
            </w:pPr>
          </w:p>
        </w:tc>
      </w:tr>
      <w:tr w14:paraId="082C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14:paraId="036C5541">
            <w:pPr>
              <w:widowControl/>
              <w:spacing w:line="288" w:lineRule="auto"/>
              <w:jc w:val="center"/>
              <w:textAlignment w:val="center"/>
              <w:rPr>
                <w:rFonts w:hint="eastAsia" w:ascii="仿宋" w:hAnsi="仿宋" w:eastAsia="仿宋" w:cs="仿宋"/>
                <w:color w:val="auto"/>
                <w:highlight w:val="none"/>
              </w:rPr>
            </w:pPr>
          </w:p>
        </w:tc>
        <w:tc>
          <w:tcPr>
            <w:tcW w:w="348" w:type="pct"/>
            <w:vAlign w:val="center"/>
          </w:tcPr>
          <w:p w14:paraId="7B657DE3">
            <w:pPr>
              <w:spacing w:line="288" w:lineRule="auto"/>
              <w:jc w:val="center"/>
              <w:rPr>
                <w:rFonts w:hint="eastAsia" w:ascii="仿宋" w:hAnsi="仿宋" w:eastAsia="仿宋" w:cs="仿宋"/>
                <w:color w:val="auto"/>
                <w:highlight w:val="none"/>
              </w:rPr>
            </w:pPr>
          </w:p>
        </w:tc>
        <w:tc>
          <w:tcPr>
            <w:tcW w:w="424" w:type="pct"/>
            <w:vAlign w:val="center"/>
          </w:tcPr>
          <w:p w14:paraId="230CA8C3">
            <w:pPr>
              <w:spacing w:line="288" w:lineRule="auto"/>
              <w:jc w:val="center"/>
              <w:rPr>
                <w:rFonts w:hint="eastAsia" w:ascii="仿宋" w:hAnsi="仿宋" w:eastAsia="仿宋" w:cs="仿宋"/>
                <w:color w:val="auto"/>
                <w:highlight w:val="none"/>
              </w:rPr>
            </w:pPr>
          </w:p>
        </w:tc>
        <w:tc>
          <w:tcPr>
            <w:tcW w:w="466" w:type="pct"/>
          </w:tcPr>
          <w:p w14:paraId="20E9C790">
            <w:pPr>
              <w:widowControl/>
              <w:spacing w:line="288" w:lineRule="auto"/>
              <w:jc w:val="center"/>
              <w:rPr>
                <w:rFonts w:hint="eastAsia" w:ascii="仿宋" w:hAnsi="仿宋" w:eastAsia="仿宋" w:cs="仿宋"/>
                <w:bCs/>
                <w:color w:val="auto"/>
                <w:highlight w:val="none"/>
              </w:rPr>
            </w:pPr>
          </w:p>
        </w:tc>
        <w:tc>
          <w:tcPr>
            <w:tcW w:w="499" w:type="pct"/>
          </w:tcPr>
          <w:p w14:paraId="3DF389B7">
            <w:pPr>
              <w:widowControl/>
              <w:spacing w:line="288" w:lineRule="auto"/>
              <w:jc w:val="center"/>
              <w:textAlignment w:val="top"/>
              <w:rPr>
                <w:rFonts w:hint="eastAsia" w:ascii="仿宋" w:hAnsi="仿宋" w:eastAsia="仿宋" w:cs="仿宋"/>
                <w:bCs/>
                <w:color w:val="auto"/>
                <w:highlight w:val="none"/>
              </w:rPr>
            </w:pPr>
          </w:p>
        </w:tc>
        <w:tc>
          <w:tcPr>
            <w:tcW w:w="552" w:type="pct"/>
          </w:tcPr>
          <w:p w14:paraId="63C3BAEF">
            <w:pPr>
              <w:spacing w:line="288" w:lineRule="auto"/>
              <w:jc w:val="center"/>
              <w:rPr>
                <w:rFonts w:hint="eastAsia" w:ascii="仿宋" w:hAnsi="仿宋" w:eastAsia="仿宋" w:cs="仿宋"/>
                <w:bCs/>
                <w:color w:val="auto"/>
                <w:highlight w:val="none"/>
              </w:rPr>
            </w:pPr>
          </w:p>
        </w:tc>
        <w:tc>
          <w:tcPr>
            <w:tcW w:w="552" w:type="pct"/>
          </w:tcPr>
          <w:p w14:paraId="0D3A2C5C">
            <w:pPr>
              <w:spacing w:line="288" w:lineRule="auto"/>
              <w:jc w:val="center"/>
              <w:rPr>
                <w:rFonts w:hint="eastAsia" w:ascii="仿宋" w:hAnsi="仿宋" w:eastAsia="仿宋" w:cs="仿宋"/>
                <w:bCs/>
                <w:color w:val="auto"/>
                <w:highlight w:val="none"/>
              </w:rPr>
            </w:pPr>
          </w:p>
        </w:tc>
        <w:tc>
          <w:tcPr>
            <w:tcW w:w="552" w:type="pct"/>
          </w:tcPr>
          <w:p w14:paraId="609FF2EC">
            <w:pPr>
              <w:spacing w:line="288" w:lineRule="auto"/>
              <w:jc w:val="center"/>
              <w:rPr>
                <w:rFonts w:hint="eastAsia" w:ascii="仿宋" w:hAnsi="仿宋" w:eastAsia="仿宋" w:cs="仿宋"/>
                <w:bCs/>
                <w:color w:val="auto"/>
                <w:highlight w:val="none"/>
              </w:rPr>
            </w:pPr>
          </w:p>
        </w:tc>
        <w:tc>
          <w:tcPr>
            <w:tcW w:w="533" w:type="pct"/>
          </w:tcPr>
          <w:p w14:paraId="44A997C1">
            <w:pPr>
              <w:spacing w:line="288" w:lineRule="auto"/>
              <w:jc w:val="center"/>
              <w:rPr>
                <w:rFonts w:hint="eastAsia" w:ascii="仿宋" w:hAnsi="仿宋" w:eastAsia="仿宋" w:cs="仿宋"/>
                <w:bCs/>
                <w:color w:val="auto"/>
                <w:highlight w:val="none"/>
              </w:rPr>
            </w:pPr>
          </w:p>
        </w:tc>
        <w:tc>
          <w:tcPr>
            <w:tcW w:w="503" w:type="pct"/>
            <w:vMerge w:val="continue"/>
          </w:tcPr>
          <w:p w14:paraId="15B9E8CF">
            <w:pPr>
              <w:spacing w:line="288" w:lineRule="auto"/>
              <w:jc w:val="center"/>
              <w:rPr>
                <w:rFonts w:hint="eastAsia" w:ascii="仿宋" w:hAnsi="仿宋" w:eastAsia="仿宋" w:cs="仿宋"/>
                <w:bCs/>
                <w:color w:val="auto"/>
                <w:highlight w:val="none"/>
              </w:rPr>
            </w:pPr>
          </w:p>
        </w:tc>
        <w:tc>
          <w:tcPr>
            <w:tcW w:w="359" w:type="pct"/>
          </w:tcPr>
          <w:p w14:paraId="7D8C8E02">
            <w:pPr>
              <w:widowControl/>
              <w:spacing w:line="288" w:lineRule="auto"/>
              <w:jc w:val="center"/>
              <w:rPr>
                <w:rFonts w:hint="eastAsia" w:ascii="仿宋" w:hAnsi="仿宋" w:eastAsia="仿宋" w:cs="仿宋"/>
                <w:color w:val="auto"/>
                <w:highlight w:val="none"/>
              </w:rPr>
            </w:pPr>
          </w:p>
        </w:tc>
      </w:tr>
      <w:tr w14:paraId="146E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14:paraId="5C6E8D36">
            <w:pPr>
              <w:widowControl/>
              <w:spacing w:line="288" w:lineRule="auto"/>
              <w:jc w:val="center"/>
              <w:textAlignment w:val="center"/>
              <w:rPr>
                <w:rFonts w:hint="eastAsia" w:ascii="仿宋" w:hAnsi="仿宋" w:eastAsia="仿宋" w:cs="仿宋"/>
                <w:color w:val="auto"/>
                <w:highlight w:val="none"/>
              </w:rPr>
            </w:pPr>
          </w:p>
        </w:tc>
        <w:tc>
          <w:tcPr>
            <w:tcW w:w="348" w:type="pct"/>
            <w:vAlign w:val="center"/>
          </w:tcPr>
          <w:p w14:paraId="3BB2909D">
            <w:pPr>
              <w:spacing w:line="288" w:lineRule="auto"/>
              <w:jc w:val="center"/>
              <w:rPr>
                <w:rFonts w:hint="eastAsia" w:ascii="仿宋" w:hAnsi="仿宋" w:eastAsia="仿宋" w:cs="仿宋"/>
                <w:color w:val="auto"/>
                <w:highlight w:val="none"/>
              </w:rPr>
            </w:pPr>
          </w:p>
        </w:tc>
        <w:tc>
          <w:tcPr>
            <w:tcW w:w="424" w:type="pct"/>
            <w:vAlign w:val="center"/>
          </w:tcPr>
          <w:p w14:paraId="0F065392">
            <w:pPr>
              <w:spacing w:line="288" w:lineRule="auto"/>
              <w:jc w:val="center"/>
              <w:rPr>
                <w:rFonts w:hint="eastAsia" w:ascii="仿宋" w:hAnsi="仿宋" w:eastAsia="仿宋" w:cs="仿宋"/>
                <w:color w:val="auto"/>
                <w:highlight w:val="none"/>
              </w:rPr>
            </w:pPr>
          </w:p>
        </w:tc>
        <w:tc>
          <w:tcPr>
            <w:tcW w:w="466" w:type="pct"/>
          </w:tcPr>
          <w:p w14:paraId="54FE8EC1">
            <w:pPr>
              <w:widowControl/>
              <w:spacing w:line="288" w:lineRule="auto"/>
              <w:jc w:val="center"/>
              <w:rPr>
                <w:rFonts w:hint="eastAsia" w:ascii="仿宋" w:hAnsi="仿宋" w:eastAsia="仿宋" w:cs="仿宋"/>
                <w:bCs/>
                <w:color w:val="auto"/>
                <w:highlight w:val="none"/>
              </w:rPr>
            </w:pPr>
          </w:p>
        </w:tc>
        <w:tc>
          <w:tcPr>
            <w:tcW w:w="499" w:type="pct"/>
          </w:tcPr>
          <w:p w14:paraId="4549BD5D">
            <w:pPr>
              <w:widowControl/>
              <w:spacing w:line="288" w:lineRule="auto"/>
              <w:jc w:val="center"/>
              <w:textAlignment w:val="top"/>
              <w:rPr>
                <w:rFonts w:hint="eastAsia" w:ascii="仿宋" w:hAnsi="仿宋" w:eastAsia="仿宋" w:cs="仿宋"/>
                <w:bCs/>
                <w:color w:val="auto"/>
                <w:highlight w:val="none"/>
              </w:rPr>
            </w:pPr>
          </w:p>
        </w:tc>
        <w:tc>
          <w:tcPr>
            <w:tcW w:w="552" w:type="pct"/>
          </w:tcPr>
          <w:p w14:paraId="74BAE6C6">
            <w:pPr>
              <w:spacing w:line="288" w:lineRule="auto"/>
              <w:jc w:val="center"/>
              <w:rPr>
                <w:rFonts w:hint="eastAsia" w:ascii="仿宋" w:hAnsi="仿宋" w:eastAsia="仿宋" w:cs="仿宋"/>
                <w:bCs/>
                <w:color w:val="auto"/>
                <w:highlight w:val="none"/>
              </w:rPr>
            </w:pPr>
          </w:p>
        </w:tc>
        <w:tc>
          <w:tcPr>
            <w:tcW w:w="552" w:type="pct"/>
          </w:tcPr>
          <w:p w14:paraId="63EAC904">
            <w:pPr>
              <w:spacing w:line="288" w:lineRule="auto"/>
              <w:jc w:val="center"/>
              <w:rPr>
                <w:rFonts w:hint="eastAsia" w:ascii="仿宋" w:hAnsi="仿宋" w:eastAsia="仿宋" w:cs="仿宋"/>
                <w:bCs/>
                <w:color w:val="auto"/>
                <w:highlight w:val="none"/>
              </w:rPr>
            </w:pPr>
          </w:p>
        </w:tc>
        <w:tc>
          <w:tcPr>
            <w:tcW w:w="552" w:type="pct"/>
          </w:tcPr>
          <w:p w14:paraId="5191A7AB">
            <w:pPr>
              <w:spacing w:line="288" w:lineRule="auto"/>
              <w:jc w:val="center"/>
              <w:rPr>
                <w:rFonts w:hint="eastAsia" w:ascii="仿宋" w:hAnsi="仿宋" w:eastAsia="仿宋" w:cs="仿宋"/>
                <w:bCs/>
                <w:color w:val="auto"/>
                <w:highlight w:val="none"/>
              </w:rPr>
            </w:pPr>
          </w:p>
        </w:tc>
        <w:tc>
          <w:tcPr>
            <w:tcW w:w="533" w:type="pct"/>
          </w:tcPr>
          <w:p w14:paraId="3ADAC4D4">
            <w:pPr>
              <w:spacing w:line="288" w:lineRule="auto"/>
              <w:jc w:val="center"/>
              <w:rPr>
                <w:rFonts w:hint="eastAsia" w:ascii="仿宋" w:hAnsi="仿宋" w:eastAsia="仿宋" w:cs="仿宋"/>
                <w:bCs/>
                <w:color w:val="auto"/>
                <w:highlight w:val="none"/>
              </w:rPr>
            </w:pPr>
          </w:p>
        </w:tc>
        <w:tc>
          <w:tcPr>
            <w:tcW w:w="503" w:type="pct"/>
            <w:vMerge w:val="continue"/>
          </w:tcPr>
          <w:p w14:paraId="2C669A51">
            <w:pPr>
              <w:spacing w:line="288" w:lineRule="auto"/>
              <w:jc w:val="center"/>
              <w:rPr>
                <w:rFonts w:hint="eastAsia" w:ascii="仿宋" w:hAnsi="仿宋" w:eastAsia="仿宋" w:cs="仿宋"/>
                <w:bCs/>
                <w:color w:val="auto"/>
                <w:highlight w:val="none"/>
              </w:rPr>
            </w:pPr>
          </w:p>
        </w:tc>
        <w:tc>
          <w:tcPr>
            <w:tcW w:w="359" w:type="pct"/>
          </w:tcPr>
          <w:p w14:paraId="4EC150AF">
            <w:pPr>
              <w:widowControl/>
              <w:spacing w:line="288" w:lineRule="auto"/>
              <w:jc w:val="center"/>
              <w:rPr>
                <w:rFonts w:hint="eastAsia" w:ascii="仿宋" w:hAnsi="仿宋" w:eastAsia="仿宋" w:cs="仿宋"/>
                <w:color w:val="auto"/>
                <w:highlight w:val="none"/>
              </w:rPr>
            </w:pPr>
          </w:p>
        </w:tc>
      </w:tr>
      <w:tr w14:paraId="21A2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14:paraId="13232815">
            <w:pPr>
              <w:widowControl/>
              <w:spacing w:line="288" w:lineRule="auto"/>
              <w:jc w:val="center"/>
              <w:textAlignment w:val="center"/>
              <w:rPr>
                <w:rFonts w:hint="eastAsia" w:ascii="仿宋" w:hAnsi="仿宋" w:eastAsia="仿宋" w:cs="仿宋"/>
                <w:color w:val="auto"/>
                <w:highlight w:val="none"/>
              </w:rPr>
            </w:pPr>
          </w:p>
        </w:tc>
        <w:tc>
          <w:tcPr>
            <w:tcW w:w="348" w:type="pct"/>
            <w:vAlign w:val="center"/>
          </w:tcPr>
          <w:p w14:paraId="2032E0A0">
            <w:pPr>
              <w:spacing w:line="288" w:lineRule="auto"/>
              <w:jc w:val="center"/>
              <w:rPr>
                <w:rFonts w:hint="eastAsia" w:ascii="仿宋" w:hAnsi="仿宋" w:eastAsia="仿宋" w:cs="仿宋"/>
                <w:color w:val="auto"/>
                <w:highlight w:val="none"/>
              </w:rPr>
            </w:pPr>
          </w:p>
        </w:tc>
        <w:tc>
          <w:tcPr>
            <w:tcW w:w="424" w:type="pct"/>
            <w:vAlign w:val="center"/>
          </w:tcPr>
          <w:p w14:paraId="6A223493">
            <w:pPr>
              <w:spacing w:line="288" w:lineRule="auto"/>
              <w:jc w:val="center"/>
              <w:rPr>
                <w:rFonts w:hint="eastAsia" w:ascii="仿宋" w:hAnsi="仿宋" w:eastAsia="仿宋" w:cs="仿宋"/>
                <w:color w:val="auto"/>
                <w:highlight w:val="none"/>
              </w:rPr>
            </w:pPr>
          </w:p>
        </w:tc>
        <w:tc>
          <w:tcPr>
            <w:tcW w:w="466" w:type="pct"/>
          </w:tcPr>
          <w:p w14:paraId="62837F1B">
            <w:pPr>
              <w:widowControl/>
              <w:spacing w:line="288" w:lineRule="auto"/>
              <w:jc w:val="center"/>
              <w:rPr>
                <w:rFonts w:hint="eastAsia" w:ascii="仿宋" w:hAnsi="仿宋" w:eastAsia="仿宋" w:cs="仿宋"/>
                <w:bCs/>
                <w:color w:val="auto"/>
                <w:highlight w:val="none"/>
              </w:rPr>
            </w:pPr>
          </w:p>
        </w:tc>
        <w:tc>
          <w:tcPr>
            <w:tcW w:w="499" w:type="pct"/>
          </w:tcPr>
          <w:p w14:paraId="10162A15">
            <w:pPr>
              <w:widowControl/>
              <w:spacing w:line="288" w:lineRule="auto"/>
              <w:jc w:val="center"/>
              <w:textAlignment w:val="top"/>
              <w:rPr>
                <w:rFonts w:hint="eastAsia" w:ascii="仿宋" w:hAnsi="仿宋" w:eastAsia="仿宋" w:cs="仿宋"/>
                <w:bCs/>
                <w:color w:val="auto"/>
                <w:highlight w:val="none"/>
              </w:rPr>
            </w:pPr>
          </w:p>
        </w:tc>
        <w:tc>
          <w:tcPr>
            <w:tcW w:w="552" w:type="pct"/>
          </w:tcPr>
          <w:p w14:paraId="71BD0FFC">
            <w:pPr>
              <w:spacing w:line="288" w:lineRule="auto"/>
              <w:jc w:val="center"/>
              <w:rPr>
                <w:rFonts w:hint="eastAsia" w:ascii="仿宋" w:hAnsi="仿宋" w:eastAsia="仿宋" w:cs="仿宋"/>
                <w:bCs/>
                <w:color w:val="auto"/>
                <w:highlight w:val="none"/>
              </w:rPr>
            </w:pPr>
          </w:p>
        </w:tc>
        <w:tc>
          <w:tcPr>
            <w:tcW w:w="552" w:type="pct"/>
          </w:tcPr>
          <w:p w14:paraId="0D1829BA">
            <w:pPr>
              <w:spacing w:line="288" w:lineRule="auto"/>
              <w:jc w:val="center"/>
              <w:rPr>
                <w:rFonts w:hint="eastAsia" w:ascii="仿宋" w:hAnsi="仿宋" w:eastAsia="仿宋" w:cs="仿宋"/>
                <w:bCs/>
                <w:color w:val="auto"/>
                <w:highlight w:val="none"/>
              </w:rPr>
            </w:pPr>
          </w:p>
        </w:tc>
        <w:tc>
          <w:tcPr>
            <w:tcW w:w="552" w:type="pct"/>
          </w:tcPr>
          <w:p w14:paraId="62E321B2">
            <w:pPr>
              <w:spacing w:line="288" w:lineRule="auto"/>
              <w:jc w:val="center"/>
              <w:rPr>
                <w:rFonts w:hint="eastAsia" w:ascii="仿宋" w:hAnsi="仿宋" w:eastAsia="仿宋" w:cs="仿宋"/>
                <w:bCs/>
                <w:color w:val="auto"/>
                <w:highlight w:val="none"/>
              </w:rPr>
            </w:pPr>
          </w:p>
        </w:tc>
        <w:tc>
          <w:tcPr>
            <w:tcW w:w="533" w:type="pct"/>
          </w:tcPr>
          <w:p w14:paraId="1070F249">
            <w:pPr>
              <w:spacing w:line="288" w:lineRule="auto"/>
              <w:jc w:val="center"/>
              <w:rPr>
                <w:rFonts w:hint="eastAsia" w:ascii="仿宋" w:hAnsi="仿宋" w:eastAsia="仿宋" w:cs="仿宋"/>
                <w:bCs/>
                <w:color w:val="auto"/>
                <w:highlight w:val="none"/>
              </w:rPr>
            </w:pPr>
          </w:p>
        </w:tc>
        <w:tc>
          <w:tcPr>
            <w:tcW w:w="503" w:type="pct"/>
            <w:vMerge w:val="continue"/>
          </w:tcPr>
          <w:p w14:paraId="6B77D3A4">
            <w:pPr>
              <w:spacing w:line="288" w:lineRule="auto"/>
              <w:jc w:val="center"/>
              <w:rPr>
                <w:rFonts w:hint="eastAsia" w:ascii="仿宋" w:hAnsi="仿宋" w:eastAsia="仿宋" w:cs="仿宋"/>
                <w:bCs/>
                <w:color w:val="auto"/>
                <w:highlight w:val="none"/>
              </w:rPr>
            </w:pPr>
          </w:p>
        </w:tc>
        <w:tc>
          <w:tcPr>
            <w:tcW w:w="359" w:type="pct"/>
          </w:tcPr>
          <w:p w14:paraId="1986BC46">
            <w:pPr>
              <w:widowControl/>
              <w:spacing w:line="288" w:lineRule="auto"/>
              <w:jc w:val="center"/>
              <w:rPr>
                <w:rFonts w:hint="eastAsia" w:ascii="仿宋" w:hAnsi="仿宋" w:eastAsia="仿宋" w:cs="仿宋"/>
                <w:color w:val="auto"/>
                <w:highlight w:val="none"/>
              </w:rPr>
            </w:pPr>
          </w:p>
        </w:tc>
      </w:tr>
      <w:tr w14:paraId="54B0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14:paraId="751588BA">
            <w:pPr>
              <w:widowControl/>
              <w:spacing w:line="288" w:lineRule="auto"/>
              <w:jc w:val="center"/>
              <w:textAlignment w:val="center"/>
              <w:rPr>
                <w:rFonts w:hint="eastAsia" w:ascii="仿宋" w:hAnsi="仿宋" w:eastAsia="仿宋" w:cs="仿宋"/>
                <w:color w:val="auto"/>
                <w:highlight w:val="none"/>
              </w:rPr>
            </w:pPr>
          </w:p>
        </w:tc>
        <w:tc>
          <w:tcPr>
            <w:tcW w:w="348" w:type="pct"/>
            <w:vAlign w:val="center"/>
          </w:tcPr>
          <w:p w14:paraId="11F3B7F3">
            <w:pPr>
              <w:spacing w:line="288" w:lineRule="auto"/>
              <w:jc w:val="center"/>
              <w:rPr>
                <w:rFonts w:hint="eastAsia" w:ascii="仿宋" w:hAnsi="仿宋" w:eastAsia="仿宋" w:cs="仿宋"/>
                <w:color w:val="auto"/>
                <w:highlight w:val="none"/>
              </w:rPr>
            </w:pPr>
          </w:p>
        </w:tc>
        <w:tc>
          <w:tcPr>
            <w:tcW w:w="424" w:type="pct"/>
            <w:vAlign w:val="center"/>
          </w:tcPr>
          <w:p w14:paraId="7375FB59">
            <w:pPr>
              <w:spacing w:line="288" w:lineRule="auto"/>
              <w:jc w:val="center"/>
              <w:rPr>
                <w:rFonts w:hint="eastAsia" w:ascii="仿宋" w:hAnsi="仿宋" w:eastAsia="仿宋" w:cs="仿宋"/>
                <w:color w:val="auto"/>
                <w:highlight w:val="none"/>
              </w:rPr>
            </w:pPr>
          </w:p>
        </w:tc>
        <w:tc>
          <w:tcPr>
            <w:tcW w:w="466" w:type="pct"/>
          </w:tcPr>
          <w:p w14:paraId="14EC2CE5">
            <w:pPr>
              <w:widowControl/>
              <w:spacing w:line="288" w:lineRule="auto"/>
              <w:jc w:val="center"/>
              <w:rPr>
                <w:rFonts w:hint="eastAsia" w:ascii="仿宋" w:hAnsi="仿宋" w:eastAsia="仿宋" w:cs="仿宋"/>
                <w:bCs/>
                <w:color w:val="auto"/>
                <w:highlight w:val="none"/>
              </w:rPr>
            </w:pPr>
          </w:p>
        </w:tc>
        <w:tc>
          <w:tcPr>
            <w:tcW w:w="499" w:type="pct"/>
          </w:tcPr>
          <w:p w14:paraId="6E862927">
            <w:pPr>
              <w:widowControl/>
              <w:spacing w:line="288" w:lineRule="auto"/>
              <w:jc w:val="center"/>
              <w:textAlignment w:val="top"/>
              <w:rPr>
                <w:rFonts w:hint="eastAsia" w:ascii="仿宋" w:hAnsi="仿宋" w:eastAsia="仿宋" w:cs="仿宋"/>
                <w:bCs/>
                <w:color w:val="auto"/>
                <w:highlight w:val="none"/>
              </w:rPr>
            </w:pPr>
          </w:p>
        </w:tc>
        <w:tc>
          <w:tcPr>
            <w:tcW w:w="552" w:type="pct"/>
          </w:tcPr>
          <w:p w14:paraId="0D0A12E8">
            <w:pPr>
              <w:spacing w:line="288" w:lineRule="auto"/>
              <w:jc w:val="center"/>
              <w:rPr>
                <w:rFonts w:hint="eastAsia" w:ascii="仿宋" w:hAnsi="仿宋" w:eastAsia="仿宋" w:cs="仿宋"/>
                <w:bCs/>
                <w:color w:val="auto"/>
                <w:highlight w:val="none"/>
              </w:rPr>
            </w:pPr>
          </w:p>
        </w:tc>
        <w:tc>
          <w:tcPr>
            <w:tcW w:w="552" w:type="pct"/>
          </w:tcPr>
          <w:p w14:paraId="1351ECDD">
            <w:pPr>
              <w:spacing w:line="288" w:lineRule="auto"/>
              <w:jc w:val="center"/>
              <w:rPr>
                <w:rFonts w:hint="eastAsia" w:ascii="仿宋" w:hAnsi="仿宋" w:eastAsia="仿宋" w:cs="仿宋"/>
                <w:bCs/>
                <w:color w:val="auto"/>
                <w:highlight w:val="none"/>
              </w:rPr>
            </w:pPr>
          </w:p>
        </w:tc>
        <w:tc>
          <w:tcPr>
            <w:tcW w:w="552" w:type="pct"/>
          </w:tcPr>
          <w:p w14:paraId="0A0ED1C8">
            <w:pPr>
              <w:spacing w:line="288" w:lineRule="auto"/>
              <w:jc w:val="center"/>
              <w:rPr>
                <w:rFonts w:hint="eastAsia" w:ascii="仿宋" w:hAnsi="仿宋" w:eastAsia="仿宋" w:cs="仿宋"/>
                <w:bCs/>
                <w:color w:val="auto"/>
                <w:highlight w:val="none"/>
              </w:rPr>
            </w:pPr>
          </w:p>
        </w:tc>
        <w:tc>
          <w:tcPr>
            <w:tcW w:w="533" w:type="pct"/>
          </w:tcPr>
          <w:p w14:paraId="1C494B44">
            <w:pPr>
              <w:spacing w:line="288" w:lineRule="auto"/>
              <w:jc w:val="center"/>
              <w:rPr>
                <w:rFonts w:hint="eastAsia" w:ascii="仿宋" w:hAnsi="仿宋" w:eastAsia="仿宋" w:cs="仿宋"/>
                <w:bCs/>
                <w:color w:val="auto"/>
                <w:highlight w:val="none"/>
              </w:rPr>
            </w:pPr>
          </w:p>
        </w:tc>
        <w:tc>
          <w:tcPr>
            <w:tcW w:w="503" w:type="pct"/>
            <w:vMerge w:val="continue"/>
          </w:tcPr>
          <w:p w14:paraId="77B4D58C">
            <w:pPr>
              <w:spacing w:line="288" w:lineRule="auto"/>
              <w:jc w:val="center"/>
              <w:rPr>
                <w:rFonts w:hint="eastAsia" w:ascii="仿宋" w:hAnsi="仿宋" w:eastAsia="仿宋" w:cs="仿宋"/>
                <w:bCs/>
                <w:color w:val="auto"/>
                <w:highlight w:val="none"/>
              </w:rPr>
            </w:pPr>
          </w:p>
        </w:tc>
        <w:tc>
          <w:tcPr>
            <w:tcW w:w="359" w:type="pct"/>
          </w:tcPr>
          <w:p w14:paraId="204483DE">
            <w:pPr>
              <w:widowControl/>
              <w:spacing w:line="288" w:lineRule="auto"/>
              <w:jc w:val="center"/>
              <w:rPr>
                <w:rFonts w:hint="eastAsia" w:ascii="仿宋" w:hAnsi="仿宋" w:eastAsia="仿宋" w:cs="仿宋"/>
                <w:color w:val="auto"/>
                <w:highlight w:val="none"/>
              </w:rPr>
            </w:pPr>
          </w:p>
        </w:tc>
      </w:tr>
      <w:tr w14:paraId="2D5D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8" w:type="pct"/>
            <w:vAlign w:val="center"/>
          </w:tcPr>
          <w:p w14:paraId="1BBF690F">
            <w:pPr>
              <w:widowControl/>
              <w:spacing w:line="288" w:lineRule="auto"/>
              <w:jc w:val="center"/>
              <w:textAlignment w:val="center"/>
              <w:rPr>
                <w:rFonts w:hint="eastAsia" w:ascii="仿宋" w:hAnsi="仿宋" w:eastAsia="仿宋" w:cs="仿宋"/>
                <w:color w:val="auto"/>
                <w:highlight w:val="none"/>
              </w:rPr>
            </w:pPr>
          </w:p>
        </w:tc>
        <w:tc>
          <w:tcPr>
            <w:tcW w:w="348" w:type="pct"/>
            <w:vAlign w:val="center"/>
          </w:tcPr>
          <w:p w14:paraId="11845CA8">
            <w:pPr>
              <w:spacing w:line="288" w:lineRule="auto"/>
              <w:jc w:val="center"/>
              <w:rPr>
                <w:rFonts w:hint="eastAsia" w:ascii="仿宋" w:hAnsi="仿宋" w:eastAsia="仿宋" w:cs="仿宋"/>
                <w:color w:val="auto"/>
                <w:highlight w:val="none"/>
              </w:rPr>
            </w:pPr>
          </w:p>
        </w:tc>
        <w:tc>
          <w:tcPr>
            <w:tcW w:w="424" w:type="pct"/>
            <w:vAlign w:val="center"/>
          </w:tcPr>
          <w:p w14:paraId="151A4AA8">
            <w:pPr>
              <w:spacing w:line="288" w:lineRule="auto"/>
              <w:jc w:val="center"/>
              <w:rPr>
                <w:rFonts w:hint="eastAsia" w:ascii="仿宋" w:hAnsi="仿宋" w:eastAsia="仿宋" w:cs="仿宋"/>
                <w:color w:val="auto"/>
                <w:highlight w:val="none"/>
              </w:rPr>
            </w:pPr>
          </w:p>
        </w:tc>
        <w:tc>
          <w:tcPr>
            <w:tcW w:w="466" w:type="pct"/>
          </w:tcPr>
          <w:p w14:paraId="3E6C9F33">
            <w:pPr>
              <w:widowControl/>
              <w:spacing w:line="288" w:lineRule="auto"/>
              <w:jc w:val="center"/>
              <w:rPr>
                <w:rFonts w:hint="eastAsia" w:ascii="仿宋" w:hAnsi="仿宋" w:eastAsia="仿宋" w:cs="仿宋"/>
                <w:bCs/>
                <w:color w:val="auto"/>
                <w:highlight w:val="none"/>
              </w:rPr>
            </w:pPr>
          </w:p>
        </w:tc>
        <w:tc>
          <w:tcPr>
            <w:tcW w:w="499" w:type="pct"/>
          </w:tcPr>
          <w:p w14:paraId="6486CFBB">
            <w:pPr>
              <w:widowControl/>
              <w:spacing w:line="288" w:lineRule="auto"/>
              <w:jc w:val="center"/>
              <w:textAlignment w:val="top"/>
              <w:rPr>
                <w:rFonts w:hint="eastAsia" w:ascii="仿宋" w:hAnsi="仿宋" w:eastAsia="仿宋" w:cs="仿宋"/>
                <w:bCs/>
                <w:color w:val="auto"/>
                <w:highlight w:val="none"/>
              </w:rPr>
            </w:pPr>
          </w:p>
        </w:tc>
        <w:tc>
          <w:tcPr>
            <w:tcW w:w="552" w:type="pct"/>
          </w:tcPr>
          <w:p w14:paraId="6777459B">
            <w:pPr>
              <w:spacing w:line="288" w:lineRule="auto"/>
              <w:jc w:val="center"/>
              <w:rPr>
                <w:rFonts w:hint="eastAsia" w:ascii="仿宋" w:hAnsi="仿宋" w:eastAsia="仿宋" w:cs="仿宋"/>
                <w:bCs/>
                <w:color w:val="auto"/>
                <w:highlight w:val="none"/>
              </w:rPr>
            </w:pPr>
          </w:p>
        </w:tc>
        <w:tc>
          <w:tcPr>
            <w:tcW w:w="552" w:type="pct"/>
          </w:tcPr>
          <w:p w14:paraId="6E41DBF3">
            <w:pPr>
              <w:spacing w:line="288" w:lineRule="auto"/>
              <w:jc w:val="center"/>
              <w:rPr>
                <w:rFonts w:hint="eastAsia" w:ascii="仿宋" w:hAnsi="仿宋" w:eastAsia="仿宋" w:cs="仿宋"/>
                <w:bCs/>
                <w:color w:val="auto"/>
                <w:highlight w:val="none"/>
              </w:rPr>
            </w:pPr>
          </w:p>
        </w:tc>
        <w:tc>
          <w:tcPr>
            <w:tcW w:w="552" w:type="pct"/>
          </w:tcPr>
          <w:p w14:paraId="782FB8A8">
            <w:pPr>
              <w:spacing w:line="288" w:lineRule="auto"/>
              <w:jc w:val="center"/>
              <w:rPr>
                <w:rFonts w:hint="eastAsia" w:ascii="仿宋" w:hAnsi="仿宋" w:eastAsia="仿宋" w:cs="仿宋"/>
                <w:bCs/>
                <w:color w:val="auto"/>
                <w:highlight w:val="none"/>
              </w:rPr>
            </w:pPr>
          </w:p>
        </w:tc>
        <w:tc>
          <w:tcPr>
            <w:tcW w:w="533" w:type="pct"/>
          </w:tcPr>
          <w:p w14:paraId="01C2C1F5">
            <w:pPr>
              <w:spacing w:line="288" w:lineRule="auto"/>
              <w:jc w:val="center"/>
              <w:rPr>
                <w:rFonts w:hint="eastAsia" w:ascii="仿宋" w:hAnsi="仿宋" w:eastAsia="仿宋" w:cs="仿宋"/>
                <w:bCs/>
                <w:color w:val="auto"/>
                <w:highlight w:val="none"/>
              </w:rPr>
            </w:pPr>
          </w:p>
        </w:tc>
        <w:tc>
          <w:tcPr>
            <w:tcW w:w="503" w:type="pct"/>
            <w:vMerge w:val="continue"/>
          </w:tcPr>
          <w:p w14:paraId="7CDAF96A">
            <w:pPr>
              <w:spacing w:line="288" w:lineRule="auto"/>
              <w:jc w:val="center"/>
              <w:rPr>
                <w:rFonts w:hint="eastAsia" w:ascii="仿宋" w:hAnsi="仿宋" w:eastAsia="仿宋" w:cs="仿宋"/>
                <w:bCs/>
                <w:color w:val="auto"/>
                <w:highlight w:val="none"/>
              </w:rPr>
            </w:pPr>
          </w:p>
        </w:tc>
        <w:tc>
          <w:tcPr>
            <w:tcW w:w="359" w:type="pct"/>
          </w:tcPr>
          <w:p w14:paraId="1CCFFFC5">
            <w:pPr>
              <w:widowControl/>
              <w:spacing w:line="288" w:lineRule="auto"/>
              <w:jc w:val="center"/>
              <w:rPr>
                <w:rFonts w:hint="eastAsia" w:ascii="仿宋" w:hAnsi="仿宋" w:eastAsia="仿宋" w:cs="仿宋"/>
                <w:color w:val="auto"/>
                <w:highlight w:val="none"/>
              </w:rPr>
            </w:pPr>
          </w:p>
        </w:tc>
      </w:tr>
    </w:tbl>
    <w:p w14:paraId="62B6DF2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0C2AD8A">
      <w:pPr>
        <w:widowControl/>
        <w:spacing w:before="60" w:after="60" w:line="288" w:lineRule="auto"/>
        <w:jc w:val="both"/>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其余评分标准对应内容</w:t>
      </w:r>
    </w:p>
    <w:p w14:paraId="07734BD0">
      <w:pPr>
        <w:widowControl/>
        <w:spacing w:before="60" w:after="60" w:line="288" w:lineRule="auto"/>
        <w:jc w:val="center"/>
        <w:outlineLvl w:val="2"/>
        <w:rPr>
          <w:rFonts w:hint="eastAsia" w:ascii="仿宋" w:hAnsi="仿宋" w:eastAsia="仿宋" w:cs="仿宋"/>
          <w:b/>
          <w:color w:val="auto"/>
          <w:sz w:val="28"/>
          <w:szCs w:val="30"/>
          <w:highlight w:val="none"/>
          <w:lang w:val="en-US" w:eastAsia="zh-CN"/>
        </w:rPr>
      </w:pPr>
      <w:r>
        <w:rPr>
          <w:rFonts w:hint="eastAsia" w:ascii="仿宋" w:hAnsi="仿宋" w:eastAsia="仿宋" w:cs="仿宋"/>
          <w:b/>
          <w:color w:val="auto"/>
          <w:sz w:val="28"/>
          <w:szCs w:val="30"/>
          <w:highlight w:val="none"/>
        </w:rPr>
        <w:t>例：**分包</w:t>
      </w:r>
      <w:r>
        <w:rPr>
          <w:rFonts w:hint="eastAsia" w:ascii="仿宋" w:hAnsi="仿宋" w:eastAsia="仿宋" w:cs="仿宋"/>
          <w:b/>
          <w:color w:val="auto"/>
          <w:sz w:val="28"/>
          <w:szCs w:val="30"/>
          <w:highlight w:val="none"/>
          <w:lang w:val="en-US" w:eastAsia="zh-CN"/>
        </w:rPr>
        <w:t>价格</w:t>
      </w:r>
    </w:p>
    <w:p w14:paraId="01E56AE4">
      <w:pPr>
        <w:widowControl/>
        <w:spacing w:before="60" w:after="60" w:line="288" w:lineRule="auto"/>
        <w:jc w:val="center"/>
        <w:outlineLvl w:val="2"/>
        <w:rPr>
          <w:rFonts w:hint="default" w:ascii="仿宋" w:hAnsi="仿宋" w:eastAsia="仿宋" w:cs="仿宋"/>
          <w:b/>
          <w:color w:val="auto"/>
          <w:sz w:val="28"/>
          <w:szCs w:val="30"/>
          <w:highlight w:val="none"/>
          <w:lang w:val="en-US" w:eastAsia="zh-CN"/>
        </w:rPr>
      </w:pPr>
      <w:r>
        <w:rPr>
          <w:rFonts w:hint="eastAsia" w:ascii="仿宋" w:hAnsi="仿宋" w:eastAsia="仿宋" w:cs="仿宋"/>
          <w:b/>
          <w:color w:val="auto"/>
          <w:sz w:val="28"/>
          <w:szCs w:val="30"/>
          <w:highlight w:val="none"/>
        </w:rPr>
        <w:t>**分包</w:t>
      </w:r>
      <w:r>
        <w:rPr>
          <w:rFonts w:hint="eastAsia" w:ascii="仿宋" w:hAnsi="仿宋" w:eastAsia="仿宋" w:cs="仿宋"/>
          <w:b/>
          <w:color w:val="auto"/>
          <w:sz w:val="28"/>
          <w:szCs w:val="30"/>
          <w:highlight w:val="none"/>
          <w:lang w:val="en-US" w:eastAsia="zh-CN"/>
        </w:rPr>
        <w:t>履约能力</w:t>
      </w:r>
    </w:p>
    <w:p w14:paraId="6543D431">
      <w:pPr>
        <w:widowControl/>
        <w:spacing w:before="60" w:after="60" w:line="288" w:lineRule="auto"/>
        <w:jc w:val="center"/>
        <w:outlineLvl w:val="2"/>
        <w:rPr>
          <w:rFonts w:hint="default" w:ascii="仿宋" w:hAnsi="仿宋" w:eastAsia="仿宋" w:cs="仿宋"/>
          <w:b/>
          <w:color w:val="auto"/>
          <w:sz w:val="28"/>
          <w:szCs w:val="30"/>
          <w:highlight w:val="none"/>
          <w:lang w:val="en-US"/>
        </w:rPr>
      </w:pPr>
      <w:r>
        <w:rPr>
          <w:rFonts w:hint="eastAsia" w:ascii="仿宋" w:hAnsi="仿宋" w:eastAsia="仿宋" w:cs="仿宋"/>
          <w:b/>
          <w:color w:val="auto"/>
          <w:sz w:val="28"/>
          <w:szCs w:val="30"/>
          <w:highlight w:val="none"/>
        </w:rPr>
        <w:t>**分包</w:t>
      </w:r>
      <w:r>
        <w:rPr>
          <w:rFonts w:hint="eastAsia" w:ascii="仿宋" w:hAnsi="仿宋" w:eastAsia="仿宋" w:cs="仿宋"/>
          <w:b/>
          <w:color w:val="auto"/>
          <w:sz w:val="28"/>
          <w:szCs w:val="30"/>
          <w:highlight w:val="none"/>
          <w:lang w:val="en-US" w:eastAsia="zh-CN"/>
        </w:rPr>
        <w:t>服务方案</w:t>
      </w:r>
    </w:p>
    <w:p w14:paraId="33E78F57">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各分包需分别提供</w:t>
      </w:r>
      <w:r>
        <w:rPr>
          <w:rFonts w:hint="eastAsia" w:ascii="仿宋" w:hAnsi="仿宋" w:eastAsia="仿宋" w:cs="仿宋"/>
          <w:color w:val="auto"/>
          <w:sz w:val="28"/>
          <w:szCs w:val="28"/>
          <w:highlight w:val="none"/>
          <w:lang w:eastAsia="zh-CN"/>
        </w:rPr>
        <w:t>）</w:t>
      </w:r>
    </w:p>
    <w:p w14:paraId="1FBF9BDF">
      <w:pPr>
        <w:rPr>
          <w:rFonts w:hint="eastAsia" w:ascii="仿宋" w:hAnsi="仿宋" w:eastAsia="仿宋" w:cs="仿宋"/>
          <w:b/>
          <w:bCs/>
          <w:color w:val="auto"/>
          <w:highlight w:val="none"/>
        </w:rPr>
      </w:pPr>
    </w:p>
    <w:sectPr>
      <w:pgSz w:w="16838" w:h="11906" w:orient="landscape"/>
      <w:pgMar w:top="1803" w:right="1440" w:bottom="1803" w:left="144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AE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4D9D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A4D9D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8745">
    <w:pPr>
      <w:pStyle w:val="6"/>
    </w:pPr>
    <w:r>
      <w:drawing>
        <wp:anchor distT="0" distB="0" distL="0" distR="0" simplePos="0" relativeHeight="251659264" behindDoc="0" locked="0" layoutInCell="1" allowOverlap="1">
          <wp:simplePos x="0" y="0"/>
          <wp:positionH relativeFrom="column">
            <wp:posOffset>748030</wp:posOffset>
          </wp:positionH>
          <wp:positionV relativeFrom="page">
            <wp:posOffset>556260</wp:posOffset>
          </wp:positionV>
          <wp:extent cx="455930" cy="257810"/>
          <wp:effectExtent l="0" t="0" r="1270" b="8890"/>
          <wp:wrapSquare wrapText="bothSides"/>
          <wp:docPr id="21" name="IM 1"/>
          <wp:cNvGraphicFramePr/>
          <a:graphic xmlns:a="http://schemas.openxmlformats.org/drawingml/2006/main">
            <a:graphicData uri="http://schemas.openxmlformats.org/drawingml/2006/picture">
              <pic:pic xmlns:pic="http://schemas.openxmlformats.org/drawingml/2006/picture">
                <pic:nvPicPr>
                  <pic:cNvPr id="21" name="IM 1"/>
                  <pic:cNvPicPr/>
                </pic:nvPicPr>
                <pic:blipFill>
                  <a:blip r:embed="rId1"/>
                  <a:stretch>
                    <a:fillRect/>
                  </a:stretch>
                </pic:blipFill>
                <pic:spPr>
                  <a:xfrm>
                    <a:off x="0" y="0"/>
                    <a:ext cx="455930" cy="257810"/>
                  </a:xfrm>
                  <a:prstGeom prst="rect">
                    <a:avLst/>
                  </a:prstGeom>
                </pic:spPr>
              </pic:pic>
            </a:graphicData>
          </a:graphic>
        </wp:anchor>
      </w:drawing>
    </w:r>
    <w:r>
      <w:rPr>
        <w:rFonts w:hint="eastAsia" w:ascii="仿宋" w:hAnsi="仿宋" w:eastAsia="仿宋" w:cs="仿宋"/>
        <w:b/>
        <w:bCs/>
        <w:color w:val="005DAD"/>
        <w:sz w:val="24"/>
        <w:szCs w:val="24"/>
        <w:lang w:val="en-US" w:eastAsia="zh-CN"/>
        <w14:shadow w14:blurRad="139700" w14:dist="63500" w14:dir="18900000">
          <w14:srgbClr w14:val="46758E">
            <w14:alpha w14:val="32000"/>
          </w14:srgbClr>
        </w14:shadow>
        <w14:reflection w14:blurRad="88900" w14:stA="52000" w14:stPos="0" w14:endA="300" w14:endPos="45500" w14:dist="53340" w14:dir="5400000" w14:fadeDir="5400000" w14:sx="100000" w14:sy="-100000" w14:kx="0" w14:algn="bl"/>
      </w:rPr>
      <w:t>南 京 众 智 工 程 咨 询 有 限 公 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CE894"/>
    <w:multiLevelType w:val="singleLevel"/>
    <w:tmpl w:val="A0BCE89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ODIwODQzNjZkZTM4NmJiNDhmZjVhYThjMzk3YjcifQ=="/>
    <w:docVar w:name="KSO_WPS_MARK_KEY" w:val="d7e17f6f-7a44-4695-a4f5-15d42e96dd5e"/>
  </w:docVars>
  <w:rsids>
    <w:rsidRoot w:val="79234DD3"/>
    <w:rsid w:val="000C25ED"/>
    <w:rsid w:val="001A6DFD"/>
    <w:rsid w:val="001E4F8E"/>
    <w:rsid w:val="0032286A"/>
    <w:rsid w:val="003845C2"/>
    <w:rsid w:val="004C77B9"/>
    <w:rsid w:val="00541C15"/>
    <w:rsid w:val="0065540F"/>
    <w:rsid w:val="006A6838"/>
    <w:rsid w:val="006C3E71"/>
    <w:rsid w:val="00850F80"/>
    <w:rsid w:val="00912336"/>
    <w:rsid w:val="00985383"/>
    <w:rsid w:val="009F04E1"/>
    <w:rsid w:val="00AA31FE"/>
    <w:rsid w:val="00C620B3"/>
    <w:rsid w:val="00D417D1"/>
    <w:rsid w:val="046F4A4B"/>
    <w:rsid w:val="05971960"/>
    <w:rsid w:val="08C66F99"/>
    <w:rsid w:val="098B3F8E"/>
    <w:rsid w:val="0AFF0AE8"/>
    <w:rsid w:val="0B8B6D9A"/>
    <w:rsid w:val="0C112AAE"/>
    <w:rsid w:val="0CCB6B37"/>
    <w:rsid w:val="0D3B3FE7"/>
    <w:rsid w:val="0DB31D06"/>
    <w:rsid w:val="0E613E0B"/>
    <w:rsid w:val="120D3204"/>
    <w:rsid w:val="193D7348"/>
    <w:rsid w:val="198364E9"/>
    <w:rsid w:val="1A143B2C"/>
    <w:rsid w:val="1A98650B"/>
    <w:rsid w:val="1E766B63"/>
    <w:rsid w:val="1F576995"/>
    <w:rsid w:val="21F5195D"/>
    <w:rsid w:val="220F2BA0"/>
    <w:rsid w:val="247753E3"/>
    <w:rsid w:val="29B449E4"/>
    <w:rsid w:val="36DD557A"/>
    <w:rsid w:val="371D6565"/>
    <w:rsid w:val="37677538"/>
    <w:rsid w:val="37CA35F2"/>
    <w:rsid w:val="384058D0"/>
    <w:rsid w:val="3A05508E"/>
    <w:rsid w:val="3AC727C9"/>
    <w:rsid w:val="3CCA0D96"/>
    <w:rsid w:val="3F636838"/>
    <w:rsid w:val="40D4576A"/>
    <w:rsid w:val="40D8078E"/>
    <w:rsid w:val="4436451B"/>
    <w:rsid w:val="44494348"/>
    <w:rsid w:val="45661C17"/>
    <w:rsid w:val="46A61F18"/>
    <w:rsid w:val="46FC37FA"/>
    <w:rsid w:val="4920418C"/>
    <w:rsid w:val="4B3A7B4E"/>
    <w:rsid w:val="4B5C51AF"/>
    <w:rsid w:val="4B9451E8"/>
    <w:rsid w:val="4C6A25EE"/>
    <w:rsid w:val="4F401EA3"/>
    <w:rsid w:val="509A4C8F"/>
    <w:rsid w:val="513E2C61"/>
    <w:rsid w:val="54065CB8"/>
    <w:rsid w:val="54B81A07"/>
    <w:rsid w:val="55C1100D"/>
    <w:rsid w:val="56AF0649"/>
    <w:rsid w:val="57A63600"/>
    <w:rsid w:val="5AB70D15"/>
    <w:rsid w:val="5F0B4ACB"/>
    <w:rsid w:val="60BB7E2A"/>
    <w:rsid w:val="62456545"/>
    <w:rsid w:val="65CB36E8"/>
    <w:rsid w:val="660404C6"/>
    <w:rsid w:val="670659E5"/>
    <w:rsid w:val="6825628A"/>
    <w:rsid w:val="68DF4B92"/>
    <w:rsid w:val="695E2641"/>
    <w:rsid w:val="6A8F6861"/>
    <w:rsid w:val="6D1C5F7B"/>
    <w:rsid w:val="6F2E0EA4"/>
    <w:rsid w:val="6FB0083E"/>
    <w:rsid w:val="6FF70753"/>
    <w:rsid w:val="7148395C"/>
    <w:rsid w:val="72BB3CBA"/>
    <w:rsid w:val="746E4D98"/>
    <w:rsid w:val="75E2400C"/>
    <w:rsid w:val="79234DD3"/>
    <w:rsid w:val="7F08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1"/>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首行缩进 211"/>
    <w:basedOn w:val="11"/>
    <w:next w:val="1"/>
    <w:qFormat/>
    <w:uiPriority w:val="0"/>
    <w:pPr>
      <w:spacing w:after="0" w:line="360" w:lineRule="auto"/>
      <w:ind w:left="0" w:firstLine="420"/>
    </w:pPr>
    <w:rPr>
      <w:rFonts w:ascii="宋体" w:hAnsi="宋体"/>
      <w:szCs w:val="20"/>
    </w:rPr>
  </w:style>
  <w:style w:type="paragraph" w:customStyle="1" w:styleId="11">
    <w:name w:val="正文文本缩进11"/>
    <w:basedOn w:val="1"/>
    <w:next w:val="12"/>
    <w:unhideWhenUsed/>
    <w:qFormat/>
    <w:uiPriority w:val="0"/>
    <w:pPr>
      <w:spacing w:after="120"/>
      <w:ind w:left="420"/>
    </w:pPr>
  </w:style>
  <w:style w:type="paragraph" w:customStyle="1" w:styleId="12">
    <w:name w:val="寄信人地址1"/>
    <w:basedOn w:val="1"/>
    <w:qFormat/>
    <w:uiPriority w:val="0"/>
    <w:rPr>
      <w:rFonts w:ascii="Arial" w:hAnsi="Arial" w:cs="宋体"/>
    </w:rPr>
  </w:style>
  <w:style w:type="paragraph" w:customStyle="1" w:styleId="13">
    <w:name w:val="标题 312"/>
    <w:basedOn w:val="1"/>
    <w:next w:val="14"/>
    <w:unhideWhenUsed/>
    <w:qFormat/>
    <w:uiPriority w:val="9"/>
    <w:pPr>
      <w:keepNext/>
      <w:keepLines/>
      <w:spacing w:before="320" w:after="200"/>
      <w:outlineLvl w:val="2"/>
    </w:pPr>
    <w:rPr>
      <w:rFonts w:ascii="Arial" w:hAnsi="Arial" w:eastAsia="Arial" w:cs="Arial"/>
      <w:sz w:val="30"/>
      <w:szCs w:val="30"/>
    </w:rPr>
  </w:style>
  <w:style w:type="paragraph" w:customStyle="1" w:styleId="14">
    <w:name w:val="正文缩进12"/>
    <w:basedOn w:val="1"/>
    <w:qFormat/>
    <w:uiPriority w:val="0"/>
    <w:pPr>
      <w:ind w:firstLine="420"/>
    </w:pPr>
  </w:style>
  <w:style w:type="character" w:customStyle="1" w:styleId="15">
    <w:name w:val="已访问的超链接11"/>
    <w:qFormat/>
    <w:uiPriority w:val="0"/>
    <w:rPr>
      <w:rFonts w:hint="default" w:ascii="Times New Roman" w:hAnsi="Times New Roman" w:eastAsia="宋体" w:cs="Times New Roman"/>
      <w:sz w:val="21"/>
      <w:szCs w:val="21"/>
      <w:lang w:val="en-US" w:eastAsia="zh-CN" w:bidi="ar-SA"/>
    </w:rPr>
  </w:style>
  <w:style w:type="paragraph" w:customStyle="1" w:styleId="16">
    <w:name w:val="索引 41"/>
    <w:basedOn w:val="1"/>
    <w:next w:val="1"/>
    <w:semiHidden/>
    <w:qFormat/>
    <w:uiPriority w:val="0"/>
    <w:pPr>
      <w:ind w:left="1260"/>
    </w:pPr>
    <w:rPr>
      <w:rFonts w:ascii="Calibri" w:hAnsi="Calibri" w:eastAsia="Calibri" w:cs="宋体"/>
      <w:sz w:val="20"/>
      <w:lang w:val="zh-CN"/>
    </w:rPr>
  </w:style>
  <w:style w:type="character" w:customStyle="1" w:styleId="17">
    <w:name w:val="页眉 Char"/>
    <w:basedOn w:val="9"/>
    <w:link w:val="6"/>
    <w:qFormat/>
    <w:uiPriority w:val="0"/>
    <w:rPr>
      <w:sz w:val="18"/>
      <w:szCs w:val="18"/>
    </w:rPr>
  </w:style>
  <w:style w:type="character" w:customStyle="1" w:styleId="18">
    <w:name w:val="页脚 Char"/>
    <w:basedOn w:val="9"/>
    <w:link w:val="5"/>
    <w:qFormat/>
    <w:uiPriority w:val="0"/>
    <w:rPr>
      <w:sz w:val="18"/>
      <w:szCs w:val="18"/>
    </w:rPr>
  </w:style>
  <w:style w:type="character" w:customStyle="1" w:styleId="19">
    <w:name w:val="标题 1 Char"/>
    <w:basedOn w:val="9"/>
    <w:link w:val="2"/>
    <w:qFormat/>
    <w:uiPriority w:val="0"/>
    <w:rPr>
      <w:b/>
      <w:bCs/>
      <w:kern w:val="44"/>
      <w:sz w:val="44"/>
      <w:szCs w:val="44"/>
    </w:rPr>
  </w:style>
  <w:style w:type="character" w:customStyle="1" w:styleId="20">
    <w:name w:val="标题 2 Char"/>
    <w:basedOn w:val="9"/>
    <w:link w:val="3"/>
    <w:qFormat/>
    <w:uiPriority w:val="0"/>
    <w:rPr>
      <w:rFonts w:asciiTheme="majorHAnsi" w:hAnsiTheme="majorHAnsi" w:eastAsiaTheme="majorEastAsia" w:cstheme="majorBidi"/>
      <w:b/>
      <w:bCs/>
      <w:sz w:val="32"/>
      <w:szCs w:val="32"/>
    </w:rPr>
  </w:style>
  <w:style w:type="character" w:customStyle="1" w:styleId="21">
    <w:name w:val="标题 3 Char"/>
    <w:basedOn w:val="9"/>
    <w:link w:val="4"/>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3556</Words>
  <Characters>3789</Characters>
  <Lines>19</Lines>
  <Paragraphs>5</Paragraphs>
  <TotalTime>13</TotalTime>
  <ScaleCrop>false</ScaleCrop>
  <LinksUpToDate>false</LinksUpToDate>
  <CharactersWithSpaces>3817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2024-12-23T06:43:00Z</dcterms:created>
  <dc:creator></dc:creator>
  <cp:lastModifiedBy>南京众智工程咨询有限公司</cp:lastModifiedBy>
  <cp:lastPrinted>2024-12-28T08:45:00Z</cp:lastPrinted>
  <dcterms:modified xsi:type="dcterms:W3CDTF">2025-01-07T08:09:19Z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99B8EB156A7446BC9F61D6A888E13C26_13</vt:lpwstr>
  </property>
  <property fmtid="{D5CDD505-2E9C-101B-9397-08002B2CF9AE}" pid="4" name="KSOTemplateDocerSaveRecord">
    <vt:lpwstr>eyJoZGlkIjoiMjU2NzlkMTBmYjExZWE3Y2ViNTg5MTBmYjgyZmRmZTUiLCJ1c2VySWQiOiIxNDM0OTk3Mzk0In0=</vt:lpwstr>
  </property>
</Properties>
</file>