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4" w:lineRule="auto"/>
        <w:jc w:val="center"/>
        <w:rPr>
          <w:rFonts w:hint="eastAsia" w:ascii="仿宋" w:hAnsi="仿宋" w:eastAsia="仿宋" w:cs="仿宋"/>
          <w:b/>
          <w:bCs/>
          <w:sz w:val="32"/>
          <w:szCs w:val="32"/>
        </w:rPr>
      </w:pPr>
      <w:r>
        <w:rPr>
          <w:rFonts w:hint="eastAsia" w:ascii="仿宋" w:hAnsi="仿宋" w:eastAsia="仿宋" w:cs="仿宋"/>
          <w:b/>
          <w:bCs/>
          <w:sz w:val="32"/>
          <w:szCs w:val="32"/>
        </w:rPr>
        <w:t>南苑街道“片区联合体”校园大宗食材联合集中二次</w:t>
      </w:r>
    </w:p>
    <w:p>
      <w:pPr>
        <w:spacing w:line="264" w:lineRule="auto"/>
        <w:jc w:val="center"/>
        <w:rPr>
          <w:rFonts w:hint="eastAsia" w:ascii="仿宋" w:hAnsi="仿宋" w:eastAsia="仿宋" w:cs="仿宋"/>
          <w:b/>
          <w:bCs/>
          <w:sz w:val="32"/>
          <w:szCs w:val="32"/>
        </w:rPr>
      </w:pPr>
      <w:r>
        <w:rPr>
          <w:rFonts w:hint="eastAsia" w:ascii="仿宋" w:hAnsi="仿宋" w:eastAsia="仿宋" w:cs="仿宋"/>
          <w:b/>
          <w:bCs/>
          <w:sz w:val="32"/>
          <w:szCs w:val="32"/>
        </w:rPr>
        <w:t>采购公告</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南京市建邺初级中学、南京师范大学附属中学新城初级中学怡康街分校、南京师范大学附属中学新城小学怡康街分校、南京市建邺实验小学分校、南京师范大学附属中学新城小学北校区、南京建邺区金地名京幼儿园、南京市爱达幼儿园、南京市建邺区华润悦府幼儿园、南京市建邺区南西幼儿园、南京市建邺区南苑幼儿园、南京市建邺区兴达幼儿园、南京嵩山路幼儿园、南京晓庄学院实验幼儿园（南京市市级机关第二幼儿园）、世纪星幼儿园、南京市建邺区泰山路幼儿园就</w:t>
      </w:r>
      <w:r>
        <w:rPr>
          <w:rFonts w:hint="eastAsia" w:ascii="仿宋" w:hAnsi="仿宋" w:eastAsia="仿宋" w:cs="仿宋"/>
          <w:b/>
          <w:bCs/>
          <w:sz w:val="28"/>
          <w:szCs w:val="28"/>
          <w:u w:val="single"/>
        </w:rPr>
        <w:t>南苑街道“片区联合体”校园大宗食材联合集中二次采购</w:t>
      </w:r>
      <w:r>
        <w:rPr>
          <w:rFonts w:hint="eastAsia" w:ascii="仿宋" w:hAnsi="仿宋" w:eastAsia="仿宋" w:cs="仿宋"/>
          <w:sz w:val="28"/>
          <w:szCs w:val="28"/>
          <w:u w:val="single"/>
        </w:rPr>
        <w:t>（项目名称）</w:t>
      </w:r>
      <w:r>
        <w:rPr>
          <w:rFonts w:hint="eastAsia" w:ascii="仿宋" w:hAnsi="仿宋" w:eastAsia="仿宋" w:cs="仿宋"/>
          <w:sz w:val="28"/>
          <w:szCs w:val="28"/>
        </w:rPr>
        <w:t>进行招标，欢迎符合条件的供应商参加。</w:t>
      </w:r>
    </w:p>
    <w:p>
      <w:pPr>
        <w:pStyle w:val="13"/>
        <w:numPr>
          <w:ilvl w:val="0"/>
          <w:numId w:val="1"/>
        </w:numPr>
        <w:spacing w:before="120" w:after="120"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项目基本情况</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1.项目编号：NJZZ-W-2025F01002</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2.项目名称：南苑街道“片区联合体”校园大宗食材联合集中二次采购。</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3.最高限价：供应商报价（各品种）不得高于《南京市建邺区2024-2026学年度中小学、幼儿园大宗食材配送协议供货集中采购》各自入围报价，超过入围价投标无效。</w:t>
      </w:r>
    </w:p>
    <w:p>
      <w:pPr>
        <w:spacing w:line="360" w:lineRule="auto"/>
        <w:ind w:firstLine="560" w:firstLineChars="200"/>
        <w:rPr>
          <w:rFonts w:hint="eastAsia" w:ascii="仿宋" w:hAnsi="仿宋" w:eastAsia="仿宋" w:cs="仿宋"/>
          <w:sz w:val="28"/>
          <w:szCs w:val="28"/>
          <w:u w:val="single"/>
        </w:rPr>
      </w:pPr>
      <w:r>
        <w:rPr>
          <w:rFonts w:hint="eastAsia" w:ascii="仿宋" w:hAnsi="仿宋" w:eastAsia="仿宋" w:cs="仿宋"/>
          <w:sz w:val="28"/>
          <w:szCs w:val="28"/>
        </w:rPr>
        <w:t>4.采购需求（简介）：南京市建邺初级中学、南京师范大学附属中学新城初级中学怡康街分校、南京师范大学附属中学新城小学怡康街分校、南京市建邺实验小学分校、南京师范大学附属中学新城小学北校区、南京建邺区金地名京幼儿园、南京市爱达幼儿园、南京市建邺区华润悦府幼儿园、南京市建邺区南西幼儿园、南京市建邺区南苑幼儿园、南京市建邺区兴达幼儿园、南京嵩山路幼儿园、南京晓庄学院实验幼儿园（南京市市级机关第二幼儿园）、世纪星幼儿园、南京市建邺区泰山路幼儿园共15所中小学及幼儿园自办食堂需采购大宗食材，为约8156名师生提供就餐。</w:t>
      </w:r>
    </w:p>
    <w:p>
      <w:pPr>
        <w:spacing w:line="360" w:lineRule="auto"/>
        <w:ind w:firstLine="560" w:firstLineChars="200"/>
        <w:rPr>
          <w:rFonts w:hint="eastAsia" w:ascii="仿宋" w:hAnsi="仿宋" w:eastAsia="仿宋" w:cs="仿宋"/>
          <w:sz w:val="28"/>
          <w:szCs w:val="28"/>
          <w:highlight w:val="yellow"/>
        </w:rPr>
      </w:pPr>
      <w:r>
        <w:rPr>
          <w:rFonts w:hint="eastAsia" w:ascii="仿宋" w:hAnsi="仿宋" w:eastAsia="仿宋" w:cs="仿宋"/>
          <w:sz w:val="28"/>
          <w:szCs w:val="28"/>
        </w:rPr>
        <w:t>5.合同履行期限：2025年02月01日-2025年04月30日。合同期满后，“片区联合体”校园大宗食材联合集中二次招标采购工作小组和学校膳食委员会根据供应商的履约、考核等情况，决定是否续签。（在合同期内，如遇省、市、区相关部门在食堂管理、食品安全等方面有新文件发布，或出现疫情等不可预见性情况，采购方将依据上级新的文件要求及实际情况提前终止或适当顺延本合同的执行期）。</w:t>
      </w:r>
    </w:p>
    <w:p>
      <w:pPr>
        <w:spacing w:line="360" w:lineRule="auto"/>
        <w:ind w:firstLine="560" w:firstLineChars="200"/>
        <w:rPr>
          <w:rFonts w:hint="eastAsia" w:ascii="仿宋" w:hAnsi="仿宋" w:eastAsia="仿宋" w:cs="仿宋"/>
          <w:sz w:val="28"/>
          <w:szCs w:val="28"/>
          <w:u w:val="single"/>
        </w:rPr>
      </w:pPr>
      <w:r>
        <w:rPr>
          <w:rFonts w:hint="eastAsia" w:ascii="仿宋" w:hAnsi="仿宋" w:eastAsia="仿宋" w:cs="仿宋"/>
          <w:sz w:val="28"/>
          <w:szCs w:val="28"/>
          <w:u w:val="single"/>
        </w:rPr>
        <w:t>6.本项目</w:t>
      </w:r>
      <w:r>
        <w:rPr>
          <w:rFonts w:hint="eastAsia" w:ascii="仿宋" w:hAnsi="仿宋" w:eastAsia="仿宋" w:cs="仿宋"/>
          <w:b/>
          <w:bCs/>
          <w:sz w:val="28"/>
          <w:szCs w:val="28"/>
          <w:u w:val="single"/>
        </w:rPr>
        <w:t>不</w:t>
      </w:r>
      <w:r>
        <w:rPr>
          <w:rFonts w:hint="eastAsia" w:ascii="仿宋" w:hAnsi="仿宋" w:eastAsia="仿宋" w:cs="仿宋"/>
          <w:sz w:val="28"/>
          <w:szCs w:val="28"/>
          <w:u w:val="single"/>
        </w:rPr>
        <w:t>接受联合体投标。</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7.采购品项：</w:t>
      </w:r>
    </w:p>
    <w:tbl>
      <w:tblPr>
        <w:tblStyle w:val="7"/>
        <w:tblW w:w="41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8"/>
        <w:gridCol w:w="4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812" w:type="pct"/>
          </w:tcPr>
          <w:p>
            <w:pPr>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分包号</w:t>
            </w:r>
          </w:p>
        </w:tc>
        <w:tc>
          <w:tcPr>
            <w:tcW w:w="3187" w:type="pct"/>
          </w:tcPr>
          <w:p>
            <w:pPr>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812" w:type="pct"/>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分包1</w:t>
            </w:r>
          </w:p>
        </w:tc>
        <w:tc>
          <w:tcPr>
            <w:tcW w:w="3187" w:type="pct"/>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812" w:type="pct"/>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分包2</w:t>
            </w:r>
          </w:p>
        </w:tc>
        <w:tc>
          <w:tcPr>
            <w:tcW w:w="3187" w:type="pct"/>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食用油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812" w:type="pct"/>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分包3</w:t>
            </w:r>
          </w:p>
        </w:tc>
        <w:tc>
          <w:tcPr>
            <w:tcW w:w="3187" w:type="pct"/>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冷鲜肉（猪牛羊鸡鸭鹅）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812" w:type="pct"/>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分包4</w:t>
            </w:r>
          </w:p>
        </w:tc>
        <w:tc>
          <w:tcPr>
            <w:tcW w:w="3187" w:type="pct"/>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冷冻制品（含冷冻家禽）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812" w:type="pct"/>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分包5</w:t>
            </w:r>
          </w:p>
        </w:tc>
        <w:tc>
          <w:tcPr>
            <w:tcW w:w="3187" w:type="pct"/>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豆制品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812" w:type="pct"/>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分包6</w:t>
            </w:r>
          </w:p>
        </w:tc>
        <w:tc>
          <w:tcPr>
            <w:tcW w:w="3187" w:type="pct"/>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蔬菜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812" w:type="pct"/>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分包7</w:t>
            </w:r>
          </w:p>
        </w:tc>
        <w:tc>
          <w:tcPr>
            <w:tcW w:w="3187" w:type="pct"/>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干货调味品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812" w:type="pct"/>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分包8</w:t>
            </w:r>
          </w:p>
        </w:tc>
        <w:tc>
          <w:tcPr>
            <w:tcW w:w="3187" w:type="pct"/>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奶制品</w:t>
            </w:r>
          </w:p>
        </w:tc>
      </w:tr>
    </w:tbl>
    <w:p>
      <w:pPr>
        <w:pStyle w:val="13"/>
        <w:numPr>
          <w:ilvl w:val="0"/>
          <w:numId w:val="1"/>
        </w:numPr>
        <w:spacing w:before="120" w:after="120" w:line="360" w:lineRule="auto"/>
        <w:ind w:firstLine="562" w:firstLineChars="200"/>
        <w:rPr>
          <w:rFonts w:hint="eastAsia" w:ascii="仿宋" w:hAnsi="仿宋" w:eastAsia="仿宋" w:cs="仿宋"/>
          <w:b/>
          <w:bCs/>
          <w:sz w:val="28"/>
          <w:szCs w:val="28"/>
        </w:rPr>
      </w:pPr>
      <w:bookmarkStart w:id="0" w:name="_Toc35393791"/>
      <w:bookmarkStart w:id="1" w:name="_Toc35393622"/>
      <w:bookmarkStart w:id="2" w:name="_Toc28359080"/>
      <w:bookmarkStart w:id="3" w:name="_Toc38985264"/>
      <w:bookmarkStart w:id="4" w:name="_Toc28359003"/>
      <w:r>
        <w:rPr>
          <w:rFonts w:hint="eastAsia" w:ascii="仿宋" w:hAnsi="仿宋" w:eastAsia="仿宋" w:cs="仿宋"/>
          <w:b/>
          <w:bCs/>
          <w:sz w:val="28"/>
          <w:szCs w:val="28"/>
        </w:rPr>
        <w:t>供应商资格要求</w:t>
      </w:r>
      <w:bookmarkEnd w:id="0"/>
      <w:bookmarkEnd w:id="1"/>
      <w:bookmarkEnd w:id="2"/>
      <w:bookmarkEnd w:id="3"/>
      <w:bookmarkEnd w:id="4"/>
    </w:p>
    <w:p>
      <w:pPr>
        <w:spacing w:line="360" w:lineRule="auto"/>
        <w:ind w:firstLine="560" w:firstLineChars="200"/>
        <w:rPr>
          <w:rFonts w:hint="eastAsia" w:ascii="仿宋" w:hAnsi="仿宋" w:eastAsia="仿宋" w:cs="仿宋"/>
          <w:sz w:val="28"/>
          <w:szCs w:val="28"/>
        </w:rPr>
      </w:pPr>
      <w:bookmarkStart w:id="5" w:name="_Toc35393792"/>
      <w:bookmarkStart w:id="6" w:name="_Toc28359004"/>
      <w:bookmarkStart w:id="7" w:name="_Toc28359081"/>
      <w:bookmarkStart w:id="8" w:name="_Toc38985265"/>
      <w:bookmarkStart w:id="9" w:name="_Toc35393623"/>
      <w:r>
        <w:rPr>
          <w:rFonts w:hint="eastAsia" w:ascii="仿宋" w:hAnsi="仿宋" w:eastAsia="仿宋" w:cs="仿宋"/>
          <w:sz w:val="28"/>
          <w:szCs w:val="28"/>
        </w:rPr>
        <w:t>供应商须为《南京市建邺区2024-2026学年度中小学、幼儿园大宗食材配送协议供货集中采购》对应品项入选供应商，提供《入选通知书》复印件并加盖公章。</w:t>
      </w:r>
    </w:p>
    <w:bookmarkEnd w:id="5"/>
    <w:bookmarkEnd w:id="6"/>
    <w:bookmarkEnd w:id="7"/>
    <w:bookmarkEnd w:id="8"/>
    <w:bookmarkEnd w:id="9"/>
    <w:p>
      <w:pPr>
        <w:pStyle w:val="13"/>
        <w:numPr>
          <w:ilvl w:val="0"/>
          <w:numId w:val="1"/>
        </w:numPr>
        <w:spacing w:before="120" w:after="120" w:line="360" w:lineRule="auto"/>
        <w:ind w:firstLine="562" w:firstLineChars="200"/>
        <w:rPr>
          <w:rFonts w:hint="eastAsia" w:ascii="仿宋" w:hAnsi="仿宋" w:eastAsia="仿宋" w:cs="仿宋"/>
          <w:b/>
          <w:bCs/>
          <w:sz w:val="28"/>
          <w:szCs w:val="28"/>
        </w:rPr>
      </w:pPr>
      <w:bookmarkStart w:id="10" w:name="_Toc38985266"/>
      <w:bookmarkStart w:id="11" w:name="_Toc28359082"/>
      <w:bookmarkStart w:id="12" w:name="_Toc28359005"/>
      <w:bookmarkStart w:id="13" w:name="_Toc35393624"/>
      <w:bookmarkStart w:id="14" w:name="_Toc35393793"/>
      <w:r>
        <w:rPr>
          <w:rFonts w:hint="eastAsia" w:ascii="仿宋" w:hAnsi="仿宋" w:eastAsia="仿宋" w:cs="仿宋"/>
          <w:b/>
          <w:bCs/>
          <w:sz w:val="28"/>
          <w:szCs w:val="28"/>
        </w:rPr>
        <w:t>报名时间（扫码下方二维码进行报名登记）</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202</w:t>
      </w:r>
      <w:r>
        <w:rPr>
          <w:rFonts w:hint="eastAsia" w:ascii="仿宋" w:hAnsi="仿宋" w:eastAsia="仿宋" w:cs="仿宋"/>
          <w:sz w:val="28"/>
          <w:szCs w:val="28"/>
          <w:lang w:val="en-US" w:eastAsia="zh-CN"/>
        </w:rPr>
        <w:t>5</w:t>
      </w:r>
      <w:r>
        <w:rPr>
          <w:rFonts w:hint="eastAsia" w:ascii="仿宋" w:hAnsi="仿宋" w:eastAsia="仿宋" w:cs="仿宋"/>
          <w:sz w:val="28"/>
          <w:szCs w:val="28"/>
        </w:rPr>
        <w:t>年01月06日至2025年01月08日（上午9：00-11：30，下午13：30-16：30）。（请扫码报名）</w:t>
      </w:r>
    </w:p>
    <w:p>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drawing>
          <wp:inline distT="0" distB="0" distL="114300" distR="114300">
            <wp:extent cx="3228975" cy="3162300"/>
            <wp:effectExtent l="0" t="0" r="9525" b="0"/>
            <wp:docPr id="3" name="图片 3" descr="68ef40878dede26a738d5626e8d1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8ef40878dede26a738d5626e8d1795"/>
                    <pic:cNvPicPr>
                      <a:picLocks noChangeAspect="1"/>
                    </pic:cNvPicPr>
                  </pic:nvPicPr>
                  <pic:blipFill>
                    <a:blip r:embed="rId6"/>
                    <a:stretch>
                      <a:fillRect/>
                    </a:stretch>
                  </pic:blipFill>
                  <pic:spPr>
                    <a:xfrm>
                      <a:off x="0" y="0"/>
                      <a:ext cx="3228975" cy="3162300"/>
                    </a:xfrm>
                    <a:prstGeom prst="rect">
                      <a:avLst/>
                    </a:prstGeom>
                  </pic:spPr>
                </pic:pic>
              </a:graphicData>
            </a:graphic>
          </wp:inline>
        </w:drawing>
      </w:r>
    </w:p>
    <w:p>
      <w:p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供应商请务必仔细核对报名信息</w:t>
      </w:r>
    </w:p>
    <w:bookmarkEnd w:id="10"/>
    <w:bookmarkEnd w:id="11"/>
    <w:bookmarkEnd w:id="12"/>
    <w:bookmarkEnd w:id="13"/>
    <w:bookmarkEnd w:id="14"/>
    <w:p>
      <w:pPr>
        <w:pStyle w:val="13"/>
        <w:numPr>
          <w:ilvl w:val="0"/>
          <w:numId w:val="1"/>
        </w:numPr>
        <w:spacing w:before="120" w:after="120" w:line="360" w:lineRule="auto"/>
        <w:ind w:firstLine="562" w:firstLineChars="200"/>
        <w:rPr>
          <w:rFonts w:hint="eastAsia" w:ascii="仿宋" w:hAnsi="仿宋" w:eastAsia="仿宋" w:cs="仿宋"/>
          <w:b/>
          <w:bCs/>
          <w:sz w:val="28"/>
          <w:szCs w:val="28"/>
        </w:rPr>
      </w:pPr>
      <w:bookmarkStart w:id="15" w:name="_Toc35393795"/>
      <w:bookmarkStart w:id="16" w:name="_Toc35393626"/>
      <w:bookmarkStart w:id="17" w:name="_Toc38985268"/>
      <w:r>
        <w:rPr>
          <w:rFonts w:hint="eastAsia" w:ascii="仿宋" w:hAnsi="仿宋" w:eastAsia="仿宋" w:cs="仿宋"/>
          <w:b/>
          <w:bCs/>
          <w:sz w:val="28"/>
          <w:szCs w:val="28"/>
        </w:rPr>
        <w:t>投标资料递交时间及方式</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2025年01月13日08:00-08:30将投标资料送至“片区联合体”牵头学校（南京市建邺初级中学）阶梯教室，过时视为自动放弃投标。</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联 系 人：郑老师</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联系电话：025-86500133</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地    址：南京市建邺区南苑新村发园18号</w:t>
      </w:r>
    </w:p>
    <w:p>
      <w:pPr>
        <w:pStyle w:val="13"/>
        <w:numPr>
          <w:ilvl w:val="0"/>
          <w:numId w:val="1"/>
        </w:numPr>
        <w:spacing w:before="120" w:after="120"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评审时间、地点</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评审开始时间：2025年01月13日  上午08:30时</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评审地点：</w:t>
      </w:r>
      <w:bookmarkStart w:id="18" w:name="OLE_LINK2"/>
      <w:r>
        <w:rPr>
          <w:rFonts w:hint="eastAsia" w:ascii="仿宋" w:hAnsi="仿宋" w:eastAsia="仿宋" w:cs="仿宋"/>
          <w:sz w:val="28"/>
          <w:szCs w:val="28"/>
        </w:rPr>
        <w:t>南京市建邺初级中学阶梯</w:t>
      </w:r>
      <w:bookmarkEnd w:id="18"/>
      <w:r>
        <w:rPr>
          <w:rFonts w:hint="eastAsia" w:ascii="仿宋" w:hAnsi="仿宋" w:eastAsia="仿宋" w:cs="仿宋"/>
          <w:sz w:val="28"/>
          <w:szCs w:val="28"/>
        </w:rPr>
        <w:t>教室（南京市建邺区南苑新村发园18号）</w:t>
      </w:r>
    </w:p>
    <w:p>
      <w:pPr>
        <w:pStyle w:val="13"/>
        <w:spacing w:before="120" w:after="120" w:line="360" w:lineRule="auto"/>
        <w:ind w:firstLine="562" w:firstLineChars="200"/>
        <w:rPr>
          <w:rFonts w:hint="eastAsia" w:ascii="仿宋" w:hAnsi="仿宋" w:eastAsia="仿宋" w:cs="仿宋"/>
          <w:b/>
          <w:bCs/>
          <w:sz w:val="28"/>
          <w:szCs w:val="28"/>
        </w:rPr>
      </w:pPr>
      <w:r>
        <w:rPr>
          <w:rFonts w:ascii="仿宋" w:hAnsi="仿宋" w:eastAsia="仿宋" w:cs="仿宋"/>
          <w:b/>
          <w:bCs/>
          <w:sz w:val="28"/>
          <w:szCs w:val="28"/>
        </w:rPr>
        <w:t>六、</w:t>
      </w:r>
      <w:r>
        <w:rPr>
          <w:rFonts w:hint="eastAsia" w:ascii="仿宋" w:hAnsi="仿宋" w:eastAsia="仿宋" w:cs="仿宋"/>
          <w:b/>
          <w:bCs/>
          <w:sz w:val="28"/>
          <w:szCs w:val="28"/>
        </w:rPr>
        <w:t>评标委员会</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由“片区联合体”</w:t>
      </w:r>
      <w:r>
        <w:rPr>
          <w:rFonts w:hint="eastAsia" w:ascii="仿宋" w:hAnsi="仿宋" w:eastAsia="仿宋" w:cs="仿宋"/>
          <w:b/>
          <w:bCs/>
          <w:sz w:val="28"/>
          <w:szCs w:val="28"/>
        </w:rPr>
        <w:t>各学校委派共24名家长代表</w:t>
      </w:r>
      <w:r>
        <w:rPr>
          <w:rFonts w:hint="eastAsia" w:ascii="仿宋" w:hAnsi="仿宋" w:eastAsia="仿宋" w:cs="仿宋"/>
          <w:sz w:val="28"/>
          <w:szCs w:val="28"/>
        </w:rPr>
        <w:t>、</w:t>
      </w:r>
      <w:r>
        <w:rPr>
          <w:rFonts w:hint="eastAsia" w:ascii="仿宋" w:hAnsi="仿宋" w:eastAsia="仿宋" w:cs="仿宋"/>
          <w:b/>
          <w:bCs/>
          <w:sz w:val="28"/>
          <w:szCs w:val="28"/>
        </w:rPr>
        <w:t>6名教师代表组成</w:t>
      </w:r>
      <w:r>
        <w:rPr>
          <w:rFonts w:hint="eastAsia" w:ascii="仿宋" w:hAnsi="仿宋" w:eastAsia="仿宋" w:cs="仿宋"/>
          <w:sz w:val="28"/>
          <w:szCs w:val="28"/>
        </w:rPr>
        <w:t>，各校党支部安排1名纪律委员以及1名家长代表监督员全程监督(监督人员不参加评分)。</w:t>
      </w:r>
    </w:p>
    <w:p>
      <w:pPr>
        <w:pStyle w:val="13"/>
        <w:spacing w:before="120" w:after="120" w:line="360" w:lineRule="auto"/>
        <w:ind w:firstLine="562" w:firstLineChars="200"/>
        <w:rPr>
          <w:rFonts w:hint="eastAsia" w:ascii="仿宋" w:hAnsi="仿宋" w:eastAsia="仿宋" w:cs="仿宋"/>
          <w:b/>
          <w:bCs/>
          <w:sz w:val="28"/>
          <w:szCs w:val="28"/>
        </w:rPr>
      </w:pPr>
      <w:r>
        <w:rPr>
          <w:rFonts w:ascii="仿宋" w:hAnsi="仿宋" w:eastAsia="仿宋" w:cs="仿宋"/>
          <w:b/>
          <w:bCs/>
          <w:sz w:val="28"/>
          <w:szCs w:val="28"/>
        </w:rPr>
        <w:t>七、</w:t>
      </w:r>
      <w:r>
        <w:rPr>
          <w:rFonts w:hint="eastAsia" w:ascii="仿宋" w:hAnsi="仿宋" w:eastAsia="仿宋" w:cs="仿宋"/>
          <w:b/>
          <w:bCs/>
          <w:sz w:val="28"/>
          <w:szCs w:val="28"/>
        </w:rPr>
        <w:t>评分标准</w:t>
      </w:r>
    </w:p>
    <w:p>
      <w:pPr>
        <w:pStyle w:val="13"/>
        <w:spacing w:before="120" w:after="120" w:line="360" w:lineRule="auto"/>
        <w:ind w:firstLine="560" w:firstLineChars="200"/>
        <w:rPr>
          <w:rFonts w:hint="eastAsia" w:ascii="仿宋" w:hAnsi="仿宋" w:eastAsia="仿宋" w:cs="仿宋"/>
          <w:b/>
          <w:bCs/>
          <w:sz w:val="28"/>
        </w:rPr>
      </w:pPr>
      <w:r>
        <w:rPr>
          <w:rFonts w:hint="eastAsia" w:ascii="仿宋" w:hAnsi="仿宋" w:eastAsia="仿宋" w:cs="仿宋"/>
          <w:sz w:val="28"/>
          <w:szCs w:val="28"/>
        </w:rPr>
        <w:t>采用综合评分法，评标结果按评审后得分由高到低顺序排列。得分相同的，按投标报价由低到高顺序排列。得分且投标报价相同的，按“评分标准中第2-3项”得分由高到低顺序排列。每个分包项目</w:t>
      </w:r>
      <w:r>
        <w:rPr>
          <w:rFonts w:hint="eastAsia" w:ascii="仿宋" w:hAnsi="仿宋" w:eastAsia="仿宋" w:cs="仿宋"/>
          <w:b/>
          <w:bCs/>
          <w:sz w:val="28"/>
        </w:rPr>
        <w:t>总分排名第一的为本次</w:t>
      </w:r>
      <w:r>
        <w:rPr>
          <w:rFonts w:hint="eastAsia" w:ascii="仿宋" w:hAnsi="仿宋" w:eastAsia="仿宋" w:cs="仿宋"/>
          <w:b/>
          <w:bCs/>
          <w:sz w:val="28"/>
          <w:szCs w:val="28"/>
        </w:rPr>
        <w:t>中标供应商（第二名及第三名备选，也同时成为学校替补供应商）</w:t>
      </w:r>
      <w:r>
        <w:rPr>
          <w:rFonts w:hint="eastAsia" w:ascii="仿宋" w:hAnsi="仿宋" w:eastAsia="仿宋" w:cs="仿宋"/>
          <w:b/>
          <w:bCs/>
          <w:sz w:val="28"/>
        </w:rPr>
        <w:t>。</w:t>
      </w:r>
    </w:p>
    <w:p>
      <w:pPr>
        <w:pStyle w:val="14"/>
      </w:pPr>
      <w:r>
        <w:rPr>
          <w:rFonts w:hint="eastAsia" w:ascii="仿宋" w:hAnsi="仿宋" w:eastAsia="仿宋" w:cs="仿宋"/>
          <w:b/>
          <w:bCs/>
          <w:sz w:val="28"/>
        </w:rPr>
        <w:t>★单个供应商在单个“片区联合体”中标分包最多不超过三个。</w:t>
      </w:r>
    </w:p>
    <w:tbl>
      <w:tblPr>
        <w:tblStyle w:val="8"/>
        <w:tblW w:w="8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2"/>
        <w:gridCol w:w="1403"/>
        <w:gridCol w:w="5301"/>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082"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140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评分因素</w:t>
            </w:r>
          </w:p>
        </w:tc>
        <w:tc>
          <w:tcPr>
            <w:tcW w:w="5301"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评分标准</w:t>
            </w:r>
          </w:p>
        </w:tc>
        <w:tc>
          <w:tcPr>
            <w:tcW w:w="1021"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2"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40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价格</w:t>
            </w:r>
          </w:p>
        </w:tc>
        <w:tc>
          <w:tcPr>
            <w:tcW w:w="5301" w:type="dxa"/>
          </w:tcPr>
          <w:p>
            <w:pPr>
              <w:spacing w:line="360" w:lineRule="auto"/>
              <w:rPr>
                <w:rFonts w:hint="eastAsia" w:ascii="仿宋" w:hAnsi="仿宋" w:eastAsia="仿宋" w:cs="仿宋"/>
                <w:sz w:val="24"/>
                <w:szCs w:val="24"/>
              </w:rPr>
            </w:pPr>
            <w:r>
              <w:rPr>
                <w:rFonts w:hint="eastAsia" w:ascii="仿宋" w:hAnsi="仿宋" w:eastAsia="仿宋" w:cs="仿宋"/>
                <w:sz w:val="24"/>
                <w:szCs w:val="24"/>
              </w:rPr>
              <w:t>根据《南京市建邺区2024-2026学年度中小学、幼儿园大宗食材配送协议供货集中采购》各分包</w:t>
            </w:r>
            <w:r>
              <w:rPr>
                <w:rFonts w:hint="eastAsia" w:ascii="仿宋" w:hAnsi="仿宋" w:eastAsia="仿宋" w:cs="仿宋"/>
                <w:b/>
                <w:bCs/>
                <w:sz w:val="24"/>
                <w:szCs w:val="24"/>
              </w:rPr>
              <w:t>总入围供应商平均价作为基准价</w:t>
            </w:r>
            <w:r>
              <w:rPr>
                <w:rFonts w:hint="eastAsia" w:ascii="仿宋" w:hAnsi="仿宋" w:eastAsia="仿宋" w:cs="仿宋"/>
                <w:sz w:val="24"/>
                <w:szCs w:val="24"/>
              </w:rPr>
              <w:t>，等于基准值的价格为满分。</w:t>
            </w:r>
          </w:p>
          <w:p>
            <w:pPr>
              <w:spacing w:line="360" w:lineRule="auto"/>
              <w:rPr>
                <w:rFonts w:hint="eastAsia" w:ascii="仿宋" w:hAnsi="仿宋" w:eastAsia="仿宋" w:cs="仿宋"/>
                <w:sz w:val="24"/>
                <w:szCs w:val="24"/>
              </w:rPr>
            </w:pPr>
            <w:r>
              <w:rPr>
                <w:rFonts w:hint="eastAsia" w:ascii="仿宋" w:hAnsi="仿宋" w:eastAsia="仿宋" w:cs="仿宋"/>
                <w:sz w:val="24"/>
                <w:szCs w:val="24"/>
              </w:rPr>
              <w:t>各供应商投标报价的偏差率=100%×|投标人报价-评标基准报价|/评标基准报价。</w:t>
            </w:r>
          </w:p>
          <w:p>
            <w:pPr>
              <w:spacing w:line="360" w:lineRule="auto"/>
              <w:rPr>
                <w:rFonts w:hint="eastAsia" w:ascii="仿宋" w:hAnsi="仿宋" w:eastAsia="仿宋" w:cs="仿宋"/>
                <w:sz w:val="24"/>
                <w:szCs w:val="24"/>
              </w:rPr>
            </w:pPr>
            <w:r>
              <w:rPr>
                <w:rFonts w:hint="eastAsia" w:ascii="仿宋" w:hAnsi="仿宋" w:eastAsia="仿宋" w:cs="仿宋"/>
                <w:sz w:val="24"/>
                <w:szCs w:val="24"/>
              </w:rPr>
              <w:t>偏差率偏离评标基准价的每增加1%扣0.3分，每降低1%扣0.</w:t>
            </w:r>
            <w:r>
              <w:rPr>
                <w:rFonts w:hint="eastAsia" w:ascii="仿宋" w:hAnsi="仿宋" w:eastAsia="仿宋" w:cs="仿宋"/>
                <w:sz w:val="24"/>
                <w:szCs w:val="24"/>
                <w:lang w:val="en-US" w:eastAsia="zh-CN"/>
              </w:rPr>
              <w:t>1</w:t>
            </w:r>
            <w:r>
              <w:rPr>
                <w:rFonts w:hint="eastAsia" w:ascii="仿宋" w:hAnsi="仿宋" w:eastAsia="仿宋" w:cs="仿宋"/>
                <w:sz w:val="24"/>
                <w:szCs w:val="24"/>
              </w:rPr>
              <w:t>分，偏离不足1%的，按照插入法计算得分。</w:t>
            </w:r>
          </w:p>
        </w:tc>
        <w:tc>
          <w:tcPr>
            <w:tcW w:w="1021"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2" w:type="dxa"/>
            <w:vMerge w:val="restart"/>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1403" w:type="dxa"/>
            <w:vMerge w:val="restart"/>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履约能力</w:t>
            </w:r>
          </w:p>
        </w:tc>
        <w:tc>
          <w:tcPr>
            <w:tcW w:w="5301" w:type="dxa"/>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评委根据投标供应商的履约能力综合评分。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承诺书（1分）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投标供应商应承诺中标后实际配送和投标时提供的车辆信息保持一致，否则学校有权利直接解除合同（提供承诺书加盖公章）。</w:t>
            </w:r>
          </w:p>
        </w:tc>
        <w:tc>
          <w:tcPr>
            <w:tcW w:w="1021" w:type="dxa"/>
            <w:vMerge w:val="restart"/>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2" w:type="dxa"/>
            <w:vMerge w:val="continue"/>
            <w:vAlign w:val="center"/>
          </w:tcPr>
          <w:p>
            <w:pPr>
              <w:spacing w:line="360" w:lineRule="auto"/>
              <w:jc w:val="center"/>
              <w:rPr>
                <w:rFonts w:hint="eastAsia" w:ascii="仿宋" w:hAnsi="仿宋" w:eastAsia="仿宋" w:cs="仿宋"/>
                <w:sz w:val="24"/>
                <w:szCs w:val="24"/>
              </w:rPr>
            </w:pPr>
          </w:p>
        </w:tc>
        <w:tc>
          <w:tcPr>
            <w:tcW w:w="1403" w:type="dxa"/>
            <w:vMerge w:val="continue"/>
            <w:vAlign w:val="center"/>
          </w:tcPr>
          <w:p>
            <w:pPr>
              <w:spacing w:line="360" w:lineRule="auto"/>
              <w:jc w:val="center"/>
              <w:rPr>
                <w:rFonts w:hint="eastAsia" w:ascii="仿宋" w:hAnsi="仿宋" w:eastAsia="仿宋" w:cs="仿宋"/>
                <w:sz w:val="24"/>
                <w:szCs w:val="24"/>
              </w:rPr>
            </w:pPr>
          </w:p>
        </w:tc>
        <w:tc>
          <w:tcPr>
            <w:tcW w:w="5301" w:type="dxa"/>
          </w:tcPr>
          <w:p>
            <w:pPr>
              <w:spacing w:line="360" w:lineRule="auto"/>
              <w:ind w:firstLine="480" w:firstLineChars="200"/>
              <w:rPr>
                <w:rFonts w:hint="eastAsia" w:ascii="仿宋" w:hAnsi="仿宋" w:eastAsia="仿宋" w:cs="仿宋"/>
                <w:sz w:val="24"/>
                <w:szCs w:val="24"/>
                <w:highlight w:val="none"/>
                <w:lang w:val="en-US" w:eastAsia="zh-CN" w:bidi="ar-SA"/>
              </w:rPr>
            </w:pPr>
            <w:r>
              <w:rPr>
                <w:rFonts w:hint="eastAsia" w:ascii="仿宋" w:hAnsi="仿宋" w:eastAsia="仿宋" w:cs="仿宋"/>
                <w:sz w:val="24"/>
                <w:szCs w:val="24"/>
              </w:rPr>
              <w:t>2.</w:t>
            </w:r>
            <w:r>
              <w:rPr>
                <w:rFonts w:hint="eastAsia" w:ascii="仿宋" w:hAnsi="仿宋" w:eastAsia="仿宋" w:cs="仿宋"/>
                <w:sz w:val="24"/>
                <w:szCs w:val="24"/>
                <w:highlight w:val="none"/>
                <w:lang w:val="en-US" w:eastAsia="zh-CN" w:bidi="ar-SA"/>
              </w:rPr>
              <w:t>配送车辆数量（9分）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rPr>
              <w:t>粮、食用油、干货调味品、蔬菜分包根据供应商提供的自有或租赁的专用配送车辆情况综合评分：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在有三辆专用配送车的基础上，</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供应商自有专用车辆每增加一辆得</w:t>
            </w:r>
            <w:r>
              <w:rPr>
                <w:rFonts w:hint="eastAsia" w:ascii="仿宋" w:hAnsi="仿宋" w:eastAsia="仿宋" w:cs="仿宋"/>
                <w:sz w:val="24"/>
                <w:szCs w:val="24"/>
                <w:lang w:val="en-US" w:eastAsia="zh-CN"/>
              </w:rPr>
              <w:t>3</w:t>
            </w:r>
            <w:r>
              <w:rPr>
                <w:rFonts w:hint="eastAsia" w:ascii="仿宋" w:hAnsi="仿宋" w:eastAsia="仿宋" w:cs="仿宋"/>
                <w:sz w:val="24"/>
                <w:szCs w:val="24"/>
              </w:rPr>
              <w:t>分，最多得</w:t>
            </w:r>
            <w:r>
              <w:rPr>
                <w:rFonts w:hint="eastAsia" w:ascii="仿宋" w:hAnsi="仿宋" w:eastAsia="仿宋" w:cs="仿宋"/>
                <w:sz w:val="24"/>
                <w:szCs w:val="24"/>
                <w:lang w:val="en-US" w:eastAsia="zh-CN"/>
              </w:rPr>
              <w:t>9</w:t>
            </w:r>
            <w:r>
              <w:rPr>
                <w:rFonts w:hint="eastAsia" w:ascii="仿宋" w:hAnsi="仿宋" w:eastAsia="仿宋" w:cs="仿宋"/>
                <w:sz w:val="24"/>
                <w:szCs w:val="24"/>
              </w:rPr>
              <w:t>分，须提供专用车辆明细清单和《机动车行驶证》或《机动车登记证》等相关证明材料复印件加盖供应商公章；</w:t>
            </w:r>
          </w:p>
          <w:p>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若为租赁专用车辆，每增加一辆得</w:t>
            </w:r>
            <w:r>
              <w:rPr>
                <w:rFonts w:hint="eastAsia" w:ascii="仿宋" w:hAnsi="仿宋" w:eastAsia="仿宋" w:cs="仿宋"/>
                <w:sz w:val="24"/>
                <w:szCs w:val="24"/>
                <w:lang w:val="en-US" w:eastAsia="zh-CN"/>
              </w:rPr>
              <w:t>2</w:t>
            </w:r>
            <w:r>
              <w:rPr>
                <w:rFonts w:hint="eastAsia" w:ascii="仿宋" w:hAnsi="仿宋" w:eastAsia="仿宋" w:cs="仿宋"/>
                <w:sz w:val="24"/>
                <w:szCs w:val="24"/>
              </w:rPr>
              <w:t>分，最多得</w:t>
            </w:r>
            <w:r>
              <w:rPr>
                <w:rFonts w:hint="eastAsia" w:ascii="仿宋" w:hAnsi="仿宋" w:eastAsia="仿宋" w:cs="仿宋"/>
                <w:sz w:val="24"/>
                <w:szCs w:val="24"/>
                <w:lang w:val="en-US" w:eastAsia="zh-CN"/>
              </w:rPr>
              <w:t>6</w:t>
            </w:r>
            <w:r>
              <w:rPr>
                <w:rFonts w:hint="eastAsia" w:ascii="仿宋" w:hAnsi="仿宋" w:eastAsia="仿宋" w:cs="仿宋"/>
                <w:sz w:val="24"/>
                <w:szCs w:val="24"/>
              </w:rPr>
              <w:t>分，须提供租赁合同及租赁发票复印件并加盖供应商公章，租赁合同需呈现租赁车辆数量和租赁专用车辆车牌号以及租赁专用车辆的《机动车行驶证》或《机动车登记证》等证明材料须清晰体现相关内容</w:t>
            </w:r>
            <w:r>
              <w:rPr>
                <w:rFonts w:hint="eastAsia" w:ascii="仿宋" w:hAnsi="仿宋" w:eastAsia="仿宋" w:cs="仿宋"/>
                <w:sz w:val="24"/>
                <w:szCs w:val="24"/>
                <w:lang w:eastAsia="zh-CN"/>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rPr>
              <w:t>冷鲜肉（猪牛羊鸡鸭鹅）、冷冻制品（含冷冻家禽）、豆制品、奶制品类分包根据供应商提供的自有或租赁的专用配送冷藏/冷链车辆情况综合评分：</w:t>
            </w:r>
          </w:p>
          <w:p>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在有三辆专用冷藏/冷链车的基础上，供应商自有专用车辆每增加一辆得</w:t>
            </w:r>
            <w:r>
              <w:rPr>
                <w:rFonts w:hint="eastAsia" w:ascii="仿宋" w:hAnsi="仿宋" w:eastAsia="仿宋" w:cs="仿宋"/>
                <w:sz w:val="24"/>
                <w:szCs w:val="24"/>
                <w:lang w:val="en-US" w:eastAsia="zh-CN"/>
              </w:rPr>
              <w:t>3</w:t>
            </w:r>
            <w:r>
              <w:rPr>
                <w:rFonts w:hint="eastAsia" w:ascii="仿宋" w:hAnsi="仿宋" w:eastAsia="仿宋" w:cs="仿宋"/>
                <w:sz w:val="24"/>
                <w:szCs w:val="24"/>
              </w:rPr>
              <w:t>分，最多得</w:t>
            </w:r>
            <w:r>
              <w:rPr>
                <w:rFonts w:hint="eastAsia" w:ascii="仿宋" w:hAnsi="仿宋" w:eastAsia="仿宋" w:cs="仿宋"/>
                <w:sz w:val="24"/>
                <w:szCs w:val="24"/>
                <w:lang w:val="en-US" w:eastAsia="zh-CN"/>
              </w:rPr>
              <w:t>9</w:t>
            </w:r>
            <w:r>
              <w:rPr>
                <w:rFonts w:hint="eastAsia" w:ascii="仿宋" w:hAnsi="仿宋" w:eastAsia="仿宋" w:cs="仿宋"/>
                <w:sz w:val="24"/>
                <w:szCs w:val="24"/>
              </w:rPr>
              <w:t>分，须提供专用车辆明细清单、《机动车行驶证》或《机动车登记证》等相关证明材料复印件加盖供应商公章</w:t>
            </w:r>
            <w:r>
              <w:rPr>
                <w:rFonts w:hint="eastAsia" w:ascii="仿宋" w:hAnsi="仿宋" w:eastAsia="仿宋" w:cs="仿宋"/>
                <w:sz w:val="24"/>
                <w:szCs w:val="24"/>
                <w:lang w:eastAsia="zh-CN"/>
              </w:rPr>
              <w:t>；</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若为租赁专用车辆，每增加一辆得</w:t>
            </w:r>
            <w:r>
              <w:rPr>
                <w:rFonts w:hint="eastAsia" w:ascii="仿宋" w:hAnsi="仿宋" w:eastAsia="仿宋" w:cs="仿宋"/>
                <w:sz w:val="24"/>
                <w:szCs w:val="24"/>
                <w:lang w:val="en-US" w:eastAsia="zh-CN"/>
              </w:rPr>
              <w:t>2</w:t>
            </w:r>
            <w:r>
              <w:rPr>
                <w:rFonts w:hint="eastAsia" w:ascii="仿宋" w:hAnsi="仿宋" w:eastAsia="仿宋" w:cs="仿宋"/>
                <w:sz w:val="24"/>
                <w:szCs w:val="24"/>
              </w:rPr>
              <w:t>分，最多得</w:t>
            </w:r>
            <w:r>
              <w:rPr>
                <w:rFonts w:hint="eastAsia" w:ascii="仿宋" w:hAnsi="仿宋" w:eastAsia="仿宋" w:cs="仿宋"/>
                <w:sz w:val="24"/>
                <w:szCs w:val="24"/>
                <w:lang w:val="en-US" w:eastAsia="zh-CN"/>
              </w:rPr>
              <w:t>6</w:t>
            </w:r>
            <w:r>
              <w:rPr>
                <w:rFonts w:hint="eastAsia" w:ascii="仿宋" w:hAnsi="仿宋" w:eastAsia="仿宋" w:cs="仿宋"/>
                <w:sz w:val="24"/>
                <w:szCs w:val="24"/>
              </w:rPr>
              <w:t>分，须提供租赁合同及租赁发票，租赁合同需有租赁专用车辆数量和租赁专用车辆车牌号以及租赁专用车辆的《机动车行驶证》或《机动车登记证》等证明材料须清晰体现相关内容</w:t>
            </w:r>
            <w:r>
              <w:rPr>
                <w:rFonts w:hint="eastAsia" w:ascii="仿宋" w:hAnsi="仿宋" w:eastAsia="仿宋" w:cs="仿宋"/>
                <w:sz w:val="24"/>
                <w:szCs w:val="24"/>
                <w:lang w:eastAsia="zh-CN"/>
              </w:rPr>
              <w:t>。</w:t>
            </w:r>
          </w:p>
        </w:tc>
        <w:tc>
          <w:tcPr>
            <w:tcW w:w="1021" w:type="dxa"/>
            <w:vMerge w:val="continue"/>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2" w:type="dxa"/>
            <w:vMerge w:val="continue"/>
            <w:vAlign w:val="center"/>
          </w:tcPr>
          <w:p>
            <w:pPr>
              <w:spacing w:line="360" w:lineRule="auto"/>
              <w:jc w:val="center"/>
              <w:rPr>
                <w:rFonts w:hint="eastAsia" w:ascii="仿宋" w:hAnsi="仿宋" w:eastAsia="仿宋" w:cs="仿宋"/>
                <w:sz w:val="24"/>
                <w:szCs w:val="24"/>
              </w:rPr>
            </w:pPr>
          </w:p>
        </w:tc>
        <w:tc>
          <w:tcPr>
            <w:tcW w:w="1403" w:type="dxa"/>
            <w:vMerge w:val="continue"/>
            <w:vAlign w:val="center"/>
          </w:tcPr>
          <w:p>
            <w:pPr>
              <w:spacing w:line="360" w:lineRule="auto"/>
              <w:jc w:val="center"/>
              <w:rPr>
                <w:rFonts w:hint="eastAsia" w:ascii="仿宋" w:hAnsi="仿宋" w:eastAsia="仿宋" w:cs="仿宋"/>
                <w:sz w:val="24"/>
                <w:szCs w:val="24"/>
              </w:rPr>
            </w:pPr>
          </w:p>
        </w:tc>
        <w:tc>
          <w:tcPr>
            <w:tcW w:w="5301" w:type="dxa"/>
          </w:tcPr>
          <w:p>
            <w:pPr>
              <w:spacing w:line="360"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rPr>
              <w:t>3.</w:t>
            </w:r>
            <w:bookmarkStart w:id="19" w:name="OLE_LINK1"/>
            <w:r>
              <w:rPr>
                <w:rFonts w:hint="eastAsia" w:ascii="仿宋" w:hAnsi="仿宋" w:eastAsia="仿宋" w:cs="仿宋"/>
                <w:sz w:val="24"/>
                <w:szCs w:val="24"/>
              </w:rPr>
              <w:t>专业配送人员</w:t>
            </w:r>
            <w:bookmarkEnd w:id="19"/>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供应商拟投入的专业配送人员</w:t>
            </w:r>
            <w:r>
              <w:rPr>
                <w:rFonts w:hint="eastAsia" w:ascii="仿宋" w:hAnsi="仿宋" w:eastAsia="仿宋" w:cs="仿宋"/>
                <w:sz w:val="24"/>
                <w:szCs w:val="24"/>
                <w:lang w:val="en-US" w:eastAsia="zh-CN"/>
              </w:rPr>
              <w:t>需有5名，</w:t>
            </w:r>
            <w:r>
              <w:rPr>
                <w:rFonts w:hint="eastAsia" w:ascii="仿宋" w:hAnsi="仿宋" w:eastAsia="仿宋" w:cs="仿宋"/>
                <w:sz w:val="24"/>
                <w:szCs w:val="24"/>
              </w:rPr>
              <w:t>具有5年以上工作经验的</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每有一人</w:t>
            </w:r>
            <w:r>
              <w:rPr>
                <w:rFonts w:hint="eastAsia" w:ascii="仿宋" w:hAnsi="仿宋" w:eastAsia="仿宋" w:cs="仿宋"/>
                <w:sz w:val="24"/>
                <w:szCs w:val="24"/>
              </w:rPr>
              <w:t>得1分</w:t>
            </w:r>
            <w:r>
              <w:rPr>
                <w:rFonts w:hint="eastAsia" w:ascii="仿宋" w:hAnsi="仿宋" w:eastAsia="仿宋" w:cs="仿宋"/>
                <w:sz w:val="24"/>
                <w:szCs w:val="24"/>
                <w:lang w:eastAsia="zh-CN"/>
              </w:rPr>
              <w:t>；具有3-5年工作经验的，</w:t>
            </w:r>
            <w:r>
              <w:rPr>
                <w:rFonts w:hint="eastAsia" w:ascii="仿宋" w:hAnsi="仿宋" w:eastAsia="仿宋" w:cs="仿宋"/>
                <w:sz w:val="24"/>
                <w:szCs w:val="24"/>
                <w:lang w:val="en-US" w:eastAsia="zh-CN"/>
              </w:rPr>
              <w:t>每有一个</w:t>
            </w:r>
            <w:r>
              <w:rPr>
                <w:rFonts w:hint="eastAsia" w:ascii="仿宋" w:hAnsi="仿宋" w:eastAsia="仿宋" w:cs="仿宋"/>
                <w:sz w:val="24"/>
                <w:szCs w:val="24"/>
                <w:lang w:eastAsia="zh-CN"/>
              </w:rPr>
              <w:t>得0.5分，3年以下不得分；</w:t>
            </w:r>
          </w:p>
          <w:p>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须提供合同复印件并加盖供应商公章，以及供应商为其缴纳六个月内任意一个月的社保证明材料</w:t>
            </w:r>
            <w:r>
              <w:rPr>
                <w:rFonts w:hint="eastAsia" w:ascii="仿宋" w:hAnsi="仿宋" w:eastAsia="仿宋" w:cs="仿宋"/>
                <w:sz w:val="24"/>
                <w:szCs w:val="24"/>
                <w:lang w:eastAsia="zh-CN"/>
              </w:rPr>
              <w:t>。</w:t>
            </w:r>
          </w:p>
        </w:tc>
        <w:tc>
          <w:tcPr>
            <w:tcW w:w="1021" w:type="dxa"/>
            <w:vMerge w:val="continue"/>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82"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140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业绩</w:t>
            </w:r>
          </w:p>
        </w:tc>
        <w:tc>
          <w:tcPr>
            <w:tcW w:w="5301" w:type="dxa"/>
          </w:tcPr>
          <w:p>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供应商提供自2023年09月01日以来（以合同签订时间为准），每日就餐人数达到800人以上（或多个学校累计到800人以上）的学校，每提供一份得2分，最高得10分。</w:t>
            </w:r>
          </w:p>
          <w:p>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须提供合同复印件并加盖供应商公章以及学校盖章证明</w:t>
            </w:r>
            <w:r>
              <w:rPr>
                <w:rFonts w:hint="eastAsia" w:ascii="仿宋" w:hAnsi="仿宋" w:eastAsia="仿宋" w:cs="仿宋"/>
                <w:color w:val="000000"/>
                <w:sz w:val="24"/>
                <w:szCs w:val="24"/>
                <w:lang w:val="en-US" w:eastAsia="zh-CN"/>
              </w:rPr>
              <w:t>需包含就餐人数</w:t>
            </w:r>
            <w:r>
              <w:rPr>
                <w:rFonts w:hint="eastAsia" w:ascii="仿宋" w:hAnsi="仿宋" w:eastAsia="仿宋" w:cs="仿宋"/>
                <w:color w:val="000000"/>
                <w:sz w:val="24"/>
                <w:szCs w:val="24"/>
              </w:rPr>
              <w:t>（格式自拟）</w:t>
            </w:r>
          </w:p>
        </w:tc>
        <w:tc>
          <w:tcPr>
            <w:tcW w:w="1021"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2"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140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品牌优势</w:t>
            </w:r>
          </w:p>
        </w:tc>
        <w:tc>
          <w:tcPr>
            <w:tcW w:w="5301" w:type="dxa"/>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由评标委员会成员根据供应商所投内容综合考虑食材品牌知名度、生产企业保障、食材质量和食品安全能力、食材品质等因素进行综合评分：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1.与相同分包供应商所投品牌相比极好的，得7分；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2.与相同分包供应商所投品牌相比较好的，得5分；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3.与相同分包供应商所投品牌相比一般的，得3分；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4.未提供不得分。</w:t>
            </w:r>
          </w:p>
          <w:p>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sz w:val="24"/>
                <w:szCs w:val="24"/>
              </w:rPr>
              <w:t>注：供应商所投品牌、生产厂家须与《南京市建邺区2024-2026学年度中小学、幼儿园大宗食材配送协议供货集中采购》入围资料一致，否则按无效投标处理。</w:t>
            </w:r>
          </w:p>
        </w:tc>
        <w:tc>
          <w:tcPr>
            <w:tcW w:w="1021"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2"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5</w:t>
            </w:r>
          </w:p>
        </w:tc>
        <w:tc>
          <w:tcPr>
            <w:tcW w:w="140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宣讲</w:t>
            </w:r>
          </w:p>
        </w:tc>
        <w:tc>
          <w:tcPr>
            <w:tcW w:w="5301" w:type="dxa"/>
          </w:tcPr>
          <w:p>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1.将按照签到顺序邀请比选供应商进行现场宣讲，须自备必要的介绍材料(仅允许口述)，时间控制在2分钟内</w:t>
            </w:r>
            <w:r>
              <w:rPr>
                <w:rFonts w:hint="eastAsia" w:ascii="仿宋" w:hAnsi="仿宋" w:eastAsia="仿宋" w:cs="仿宋"/>
                <w:sz w:val="24"/>
                <w:szCs w:val="24"/>
                <w:lang w:eastAsia="zh-CN"/>
              </w:rPr>
              <w:t>；</w:t>
            </w:r>
          </w:p>
          <w:p>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2.各供应商可提供宣传册，现场放至规定区域供参会人员自主领取阅读</w:t>
            </w:r>
            <w:r>
              <w:rPr>
                <w:rFonts w:hint="eastAsia" w:ascii="仿宋" w:hAnsi="仿宋" w:eastAsia="仿宋" w:cs="仿宋"/>
                <w:sz w:val="24"/>
                <w:szCs w:val="24"/>
                <w:lang w:eastAsia="zh-CN"/>
              </w:rPr>
              <w:t>；</w:t>
            </w:r>
          </w:p>
          <w:p>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3.评委会现场对项目负责人进行提问，提问内容为针对此次大宗食材二次比选一些关键性问题，由供应商先介绍自身企业实力(包括但不限于主要业绩、公司规模、配送方案、质量承诺)，再由评委提问作答</w:t>
            </w:r>
            <w:r>
              <w:rPr>
                <w:rFonts w:hint="eastAsia" w:ascii="仿宋" w:hAnsi="仿宋" w:eastAsia="仿宋" w:cs="仿宋"/>
                <w:sz w:val="24"/>
                <w:szCs w:val="24"/>
                <w:lang w:eastAsia="zh-CN"/>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4.评委可根据供应商项目负责人现场宣讲情况在0-8分之间打分。</w:t>
            </w:r>
          </w:p>
          <w:p>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sz w:val="24"/>
                <w:szCs w:val="24"/>
              </w:rPr>
              <w:t>(同一供应商报名多个分包只可进行一次宣讲</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宣讲前</w:t>
            </w:r>
            <w:r>
              <w:rPr>
                <w:rFonts w:hint="eastAsia" w:ascii="仿宋" w:hAnsi="仿宋" w:eastAsia="仿宋" w:cs="仿宋"/>
                <w:sz w:val="24"/>
                <w:szCs w:val="24"/>
              </w:rPr>
              <w:t>需提前告知各位评委</w:t>
            </w:r>
            <w:r>
              <w:rPr>
                <w:rFonts w:hint="eastAsia" w:ascii="仿宋" w:hAnsi="仿宋" w:eastAsia="仿宋" w:cs="仿宋"/>
                <w:sz w:val="24"/>
                <w:szCs w:val="24"/>
                <w:lang w:val="en-US" w:eastAsia="zh-CN"/>
              </w:rPr>
              <w:t>所投分包</w:t>
            </w:r>
            <w:r>
              <w:rPr>
                <w:rFonts w:hint="eastAsia" w:ascii="仿宋" w:hAnsi="仿宋" w:eastAsia="仿宋" w:cs="仿宋"/>
                <w:sz w:val="24"/>
                <w:szCs w:val="24"/>
              </w:rPr>
              <w:t>)</w:t>
            </w:r>
          </w:p>
        </w:tc>
        <w:tc>
          <w:tcPr>
            <w:tcW w:w="1021"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8分</w:t>
            </w:r>
          </w:p>
        </w:tc>
      </w:tr>
      <w:bookmarkEnd w:id="15"/>
      <w:bookmarkEnd w:id="16"/>
      <w:bookmarkEnd w:id="17"/>
    </w:tbl>
    <w:p>
      <w:pPr>
        <w:pStyle w:val="13"/>
        <w:spacing w:before="120" w:after="120" w:line="360" w:lineRule="auto"/>
        <w:ind w:firstLine="562" w:firstLineChars="200"/>
        <w:rPr>
          <w:rFonts w:hint="eastAsia" w:ascii="仿宋" w:hAnsi="仿宋" w:eastAsia="仿宋" w:cs="仿宋"/>
          <w:b/>
          <w:bCs/>
          <w:sz w:val="28"/>
          <w:szCs w:val="28"/>
        </w:rPr>
      </w:pPr>
      <w:bookmarkStart w:id="20" w:name="_Toc35393796"/>
      <w:bookmarkStart w:id="21" w:name="_Toc28359085"/>
      <w:bookmarkStart w:id="22" w:name="_Toc35393627"/>
      <w:bookmarkStart w:id="23" w:name="_Toc38985269"/>
      <w:bookmarkStart w:id="24" w:name="_Toc28359008"/>
      <w:r>
        <w:rPr>
          <w:rFonts w:ascii="仿宋" w:hAnsi="仿宋" w:eastAsia="仿宋" w:cs="仿宋"/>
          <w:b/>
          <w:bCs/>
          <w:sz w:val="28"/>
          <w:szCs w:val="28"/>
        </w:rPr>
        <w:t>八、</w:t>
      </w:r>
      <w:r>
        <w:rPr>
          <w:rFonts w:hint="eastAsia" w:ascii="仿宋" w:hAnsi="仿宋" w:eastAsia="仿宋" w:cs="仿宋"/>
          <w:b/>
          <w:bCs/>
          <w:sz w:val="28"/>
          <w:szCs w:val="28"/>
        </w:rPr>
        <w:t>投标文件份数：</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1.投标纸质材料</w:t>
      </w:r>
      <w:r>
        <w:rPr>
          <w:rFonts w:hint="eastAsia" w:ascii="仿宋" w:hAnsi="仿宋" w:eastAsia="仿宋" w:cs="仿宋"/>
          <w:b/>
          <w:bCs/>
          <w:sz w:val="28"/>
          <w:szCs w:val="28"/>
        </w:rPr>
        <w:t>（需按分包分别进行投标）</w:t>
      </w:r>
      <w:r>
        <w:rPr>
          <w:rFonts w:hint="eastAsia" w:ascii="仿宋" w:hAnsi="仿宋" w:eastAsia="仿宋" w:cs="仿宋"/>
          <w:sz w:val="28"/>
          <w:szCs w:val="28"/>
        </w:rPr>
        <w:t>：一式十七份，一正十六副。如有供应商投标多个分包，需按单个分包制作和密封投标文件。（报价单格式参考附件）</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2.投标资料须加盖公章，所投分包名称、单位名称、须清晰可见，简单装订密封。</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3.电子档文件（PDF+WORD形式）放在同一个U盘内</w:t>
      </w:r>
      <w:r>
        <w:rPr>
          <w:rFonts w:hint="eastAsia" w:ascii="仿宋" w:hAnsi="仿宋" w:eastAsia="仿宋" w:cs="仿宋"/>
          <w:sz w:val="28"/>
          <w:szCs w:val="28"/>
          <w:lang w:val="en-US" w:eastAsia="zh-CN"/>
        </w:rPr>
        <w:t>(U盘命名：单位名称+分包号）</w:t>
      </w:r>
      <w:r>
        <w:rPr>
          <w:rFonts w:hint="eastAsia" w:ascii="仿宋" w:hAnsi="仿宋" w:eastAsia="仿宋" w:cs="仿宋"/>
          <w:sz w:val="28"/>
          <w:szCs w:val="28"/>
        </w:rPr>
        <w:t>，U盘表面请注明公司名称。</w:t>
      </w:r>
    </w:p>
    <w:p>
      <w:pPr>
        <w:pStyle w:val="13"/>
        <w:spacing w:before="120" w:after="120" w:line="360" w:lineRule="auto"/>
        <w:ind w:firstLine="562" w:firstLineChars="200"/>
        <w:rPr>
          <w:rFonts w:hint="eastAsia" w:ascii="仿宋" w:hAnsi="仿宋" w:eastAsia="仿宋" w:cs="仿宋"/>
          <w:b/>
          <w:bCs/>
          <w:sz w:val="28"/>
          <w:szCs w:val="28"/>
        </w:rPr>
      </w:pPr>
      <w:r>
        <w:rPr>
          <w:rFonts w:ascii="仿宋" w:hAnsi="仿宋" w:eastAsia="仿宋" w:cs="仿宋"/>
          <w:b/>
          <w:bCs/>
          <w:sz w:val="28"/>
          <w:szCs w:val="28"/>
        </w:rPr>
        <w:t>九、</w:t>
      </w:r>
      <w:r>
        <w:rPr>
          <w:rFonts w:hint="eastAsia" w:ascii="仿宋" w:hAnsi="仿宋" w:eastAsia="仿宋" w:cs="仿宋"/>
          <w:b/>
          <w:bCs/>
          <w:sz w:val="28"/>
          <w:szCs w:val="28"/>
        </w:rPr>
        <w:t>其他补充事宜</w:t>
      </w:r>
      <w:bookmarkStart w:id="25" w:name="_GoBack"/>
      <w:bookmarkEnd w:id="25"/>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粮、食用油、冷鲜肉（猪牛羊鸡鸭鹅）品目8-73项、冷冻制品（含冷冻家禽）、干货调味品、蔬菜品目25-154项、豆制品、奶制品所有的中标供应商在全年服务期限内，根据《南京市建邺区2024-2026学年度中小学、幼儿园大宗食材配送协议供货集中采购》提供的折扣率计算参考价*（1-所投品目平均折扣率），若计算价格低于所投报价，则以“折扣率计算参考价*（1-所投品目平均折扣率）”的价格为执行价；若计算价格高于等于所投报价，则以所投报价的价格为执行价。无论市场如何变动，供应价格按招标文件要求保持不变。</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冷鲜肉（猪牛羊鸡鸭鹅）品目1-7项、蔬菜品目1-24项在一定周期内（周），以南京市发改委网站公布的平均价格乘以所报折扣（1-所投品目平均折扣率）作为结算价（结算价以上一周发改委公布的平均价计算），若结算价格高于南京市发改委网站公布的周平均价格*（1-所投品目折扣率）的价格，则按照南京市发改委网站公布的周平均价格*（1-所投品目折扣率）作为结算价，每月底统一结算。</w:t>
      </w:r>
    </w:p>
    <w:p>
      <w:pPr>
        <w:pStyle w:val="13"/>
        <w:spacing w:before="120" w:after="120" w:line="360" w:lineRule="auto"/>
        <w:ind w:firstLine="562" w:firstLineChars="200"/>
        <w:rPr>
          <w:rFonts w:hint="eastAsia" w:ascii="仿宋" w:hAnsi="仿宋" w:eastAsia="仿宋" w:cs="仿宋"/>
          <w:b/>
          <w:bCs/>
          <w:sz w:val="28"/>
          <w:szCs w:val="28"/>
        </w:rPr>
      </w:pPr>
      <w:r>
        <w:rPr>
          <w:rFonts w:ascii="仿宋" w:hAnsi="仿宋" w:eastAsia="仿宋" w:cs="仿宋"/>
          <w:b/>
          <w:bCs/>
          <w:sz w:val="28"/>
          <w:szCs w:val="28"/>
        </w:rPr>
        <w:t>十、</w:t>
      </w:r>
      <w:r>
        <w:rPr>
          <w:rFonts w:hint="eastAsia" w:ascii="仿宋" w:hAnsi="仿宋" w:eastAsia="仿宋" w:cs="仿宋"/>
          <w:b/>
          <w:bCs/>
          <w:sz w:val="28"/>
          <w:szCs w:val="28"/>
        </w:rPr>
        <w:t>本次采购联系方式</w:t>
      </w:r>
      <w:bookmarkEnd w:id="20"/>
      <w:bookmarkEnd w:id="21"/>
      <w:bookmarkEnd w:id="22"/>
      <w:bookmarkEnd w:id="23"/>
      <w:bookmarkEnd w:id="24"/>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采购代理机构信息</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名    称：南京众智工程咨询有限公司</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地    址：南京市鼓楼区郑和中路中海广场A座601-602</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联 系 人：谭工</w:t>
      </w:r>
    </w:p>
    <w:p>
      <w:pPr>
        <w:spacing w:line="360" w:lineRule="auto"/>
        <w:ind w:firstLine="560" w:firstLineChars="200"/>
        <w:rPr>
          <w:rFonts w:hint="eastAsia" w:ascii="仿宋" w:hAnsi="仿宋" w:eastAsia="仿宋" w:cs="仿宋"/>
        </w:rPr>
        <w:sectPr>
          <w:headerReference r:id="rId3" w:type="default"/>
          <w:footerReference r:id="rId4" w:type="default"/>
          <w:pgSz w:w="11906" w:h="16838"/>
          <w:pgMar w:top="1440" w:right="1797" w:bottom="1440" w:left="1797" w:header="851" w:footer="992" w:gutter="0"/>
          <w:cols w:space="425" w:num="1"/>
          <w:docGrid w:type="lines" w:linePitch="312" w:charSpace="0"/>
        </w:sectPr>
      </w:pPr>
      <w:r>
        <w:rPr>
          <w:rFonts w:hint="eastAsia" w:ascii="仿宋" w:hAnsi="仿宋" w:eastAsia="仿宋" w:cs="仿宋"/>
          <w:sz w:val="28"/>
          <w:szCs w:val="28"/>
        </w:rPr>
        <w:t>联系电话：025-52896520-30</w:t>
      </w:r>
    </w:p>
    <w:p>
      <w:pPr>
        <w:rPr>
          <w:rFonts w:hint="eastAsia" w:ascii="仿宋" w:hAnsi="仿宋" w:eastAsia="仿宋" w:cs="仿宋"/>
          <w:b/>
          <w:bCs/>
          <w:sz w:val="28"/>
          <w:szCs w:val="28"/>
        </w:rPr>
      </w:pPr>
      <w:r>
        <w:rPr>
          <w:rFonts w:hint="eastAsia" w:ascii="仿宋" w:hAnsi="仿宋" w:eastAsia="仿宋" w:cs="仿宋"/>
          <w:b/>
          <w:bCs/>
          <w:sz w:val="28"/>
          <w:szCs w:val="28"/>
        </w:rPr>
        <w:t>附件：报价单（参照建邺区2024-2026大宗食材报价单）</w:t>
      </w:r>
    </w:p>
    <w:p>
      <w:pPr>
        <w:widowControl/>
        <w:spacing w:before="60" w:after="60" w:line="288" w:lineRule="auto"/>
        <w:jc w:val="center"/>
        <w:outlineLvl w:val="2"/>
        <w:rPr>
          <w:rFonts w:hint="eastAsia" w:ascii="仿宋" w:hAnsi="仿宋" w:eastAsia="仿宋" w:cs="仿宋"/>
          <w:b/>
          <w:sz w:val="28"/>
          <w:szCs w:val="30"/>
        </w:rPr>
      </w:pPr>
      <w:r>
        <w:rPr>
          <w:rFonts w:hint="eastAsia" w:ascii="仿宋" w:hAnsi="仿宋" w:eastAsia="仿宋" w:cs="仿宋"/>
          <w:b/>
          <w:sz w:val="28"/>
          <w:szCs w:val="30"/>
        </w:rPr>
        <w:t>例：**分包报价单</w:t>
      </w:r>
    </w:p>
    <w:p>
      <w:pPr>
        <w:widowControl/>
        <w:spacing w:before="40" w:after="40" w:line="288" w:lineRule="auto"/>
        <w:jc w:val="center"/>
        <w:rPr>
          <w:rFonts w:hint="eastAsia" w:ascii="仿宋" w:hAnsi="仿宋" w:eastAsia="仿宋" w:cs="仿宋"/>
          <w:b/>
        </w:rPr>
      </w:pPr>
      <w:r>
        <w:rPr>
          <w:rFonts w:hint="eastAsia" w:ascii="仿宋" w:hAnsi="仿宋" w:eastAsia="仿宋" w:cs="仿宋"/>
          <w:b/>
        </w:rPr>
        <w:t>（一个报价单、每个品种限1个品牌   单位 500g/1升）</w:t>
      </w:r>
    </w:p>
    <w:tbl>
      <w:tblPr>
        <w:tblStyle w:val="7"/>
        <w:tblW w:w="56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110"/>
        <w:gridCol w:w="1352"/>
        <w:gridCol w:w="1486"/>
        <w:gridCol w:w="1591"/>
        <w:gridCol w:w="1760"/>
        <w:gridCol w:w="1760"/>
        <w:gridCol w:w="1760"/>
        <w:gridCol w:w="1700"/>
        <w:gridCol w:w="1604"/>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208" w:type="pct"/>
            <w:vAlign w:val="center"/>
          </w:tcPr>
          <w:p>
            <w:pPr>
              <w:widowControl/>
              <w:spacing w:line="288" w:lineRule="auto"/>
              <w:jc w:val="center"/>
              <w:rPr>
                <w:rFonts w:hint="eastAsia" w:ascii="仿宋" w:hAnsi="仿宋" w:eastAsia="仿宋" w:cs="仿宋"/>
              </w:rPr>
            </w:pPr>
            <w:r>
              <w:rPr>
                <w:rFonts w:hint="eastAsia" w:ascii="仿宋" w:hAnsi="仿宋" w:eastAsia="仿宋" w:cs="仿宋"/>
              </w:rPr>
              <w:t>序号</w:t>
            </w:r>
          </w:p>
        </w:tc>
        <w:tc>
          <w:tcPr>
            <w:tcW w:w="348" w:type="pct"/>
            <w:vAlign w:val="center"/>
          </w:tcPr>
          <w:p>
            <w:pPr>
              <w:widowControl/>
              <w:spacing w:line="288" w:lineRule="auto"/>
              <w:jc w:val="center"/>
              <w:rPr>
                <w:rFonts w:hint="eastAsia" w:ascii="仿宋" w:hAnsi="仿宋" w:eastAsia="仿宋" w:cs="仿宋"/>
              </w:rPr>
            </w:pPr>
            <w:r>
              <w:rPr>
                <w:rFonts w:hint="eastAsia" w:ascii="仿宋" w:hAnsi="仿宋" w:eastAsia="仿宋" w:cs="仿宋"/>
              </w:rPr>
              <w:t>品名</w:t>
            </w:r>
          </w:p>
        </w:tc>
        <w:tc>
          <w:tcPr>
            <w:tcW w:w="424" w:type="pct"/>
            <w:vAlign w:val="center"/>
          </w:tcPr>
          <w:p>
            <w:pPr>
              <w:widowControl/>
              <w:spacing w:line="288" w:lineRule="auto"/>
              <w:jc w:val="center"/>
              <w:rPr>
                <w:rFonts w:hint="eastAsia" w:ascii="仿宋" w:hAnsi="仿宋" w:eastAsia="仿宋" w:cs="仿宋"/>
              </w:rPr>
            </w:pPr>
            <w:r>
              <w:rPr>
                <w:rFonts w:hint="eastAsia" w:ascii="仿宋" w:hAnsi="仿宋" w:eastAsia="仿宋" w:cs="仿宋"/>
              </w:rPr>
              <w:t>品牌</w:t>
            </w:r>
          </w:p>
          <w:p>
            <w:pPr>
              <w:widowControl/>
              <w:spacing w:line="288" w:lineRule="auto"/>
              <w:jc w:val="center"/>
              <w:rPr>
                <w:rFonts w:hint="eastAsia" w:ascii="仿宋" w:hAnsi="仿宋" w:eastAsia="仿宋" w:cs="仿宋"/>
              </w:rPr>
            </w:pPr>
            <w:r>
              <w:rPr>
                <w:rFonts w:hint="eastAsia" w:ascii="仿宋" w:hAnsi="仿宋" w:eastAsia="仿宋" w:cs="仿宋"/>
                <w:color w:val="FF0000"/>
              </w:rPr>
              <w:t>（须与入围品牌一致）</w:t>
            </w:r>
          </w:p>
        </w:tc>
        <w:tc>
          <w:tcPr>
            <w:tcW w:w="466" w:type="pct"/>
            <w:vAlign w:val="center"/>
          </w:tcPr>
          <w:p>
            <w:pPr>
              <w:widowControl/>
              <w:spacing w:line="288" w:lineRule="auto"/>
              <w:jc w:val="center"/>
              <w:rPr>
                <w:rFonts w:hint="eastAsia" w:ascii="仿宋" w:hAnsi="仿宋" w:eastAsia="仿宋" w:cs="仿宋"/>
                <w:bCs/>
              </w:rPr>
            </w:pPr>
            <w:r>
              <w:rPr>
                <w:rFonts w:hint="eastAsia" w:ascii="仿宋" w:hAnsi="仿宋" w:eastAsia="仿宋" w:cs="仿宋"/>
                <w:bCs/>
              </w:rPr>
              <w:t>生产厂家</w:t>
            </w:r>
          </w:p>
          <w:p>
            <w:pPr>
              <w:widowControl/>
              <w:spacing w:line="288" w:lineRule="auto"/>
              <w:jc w:val="center"/>
              <w:rPr>
                <w:rFonts w:hint="eastAsia" w:ascii="仿宋" w:hAnsi="仿宋" w:eastAsia="仿宋" w:cs="仿宋"/>
                <w:bCs/>
              </w:rPr>
            </w:pPr>
            <w:r>
              <w:rPr>
                <w:rFonts w:hint="eastAsia" w:ascii="仿宋" w:hAnsi="仿宋" w:eastAsia="仿宋" w:cs="仿宋"/>
                <w:bCs/>
                <w:color w:val="FF0000"/>
              </w:rPr>
              <w:t>（须与入围生产厂家一致）</w:t>
            </w:r>
          </w:p>
        </w:tc>
        <w:tc>
          <w:tcPr>
            <w:tcW w:w="499" w:type="pct"/>
            <w:vAlign w:val="center"/>
          </w:tcPr>
          <w:p>
            <w:pPr>
              <w:widowControl/>
              <w:spacing w:line="288" w:lineRule="auto"/>
              <w:jc w:val="center"/>
              <w:rPr>
                <w:rFonts w:hint="eastAsia" w:ascii="仿宋" w:hAnsi="仿宋" w:eastAsia="仿宋" w:cs="仿宋"/>
                <w:bCs/>
              </w:rPr>
            </w:pPr>
            <w:r>
              <w:rPr>
                <w:rFonts w:hint="eastAsia" w:ascii="仿宋" w:hAnsi="仿宋" w:eastAsia="仿宋" w:cs="仿宋"/>
                <w:bCs/>
              </w:rPr>
              <w:t>折扣率计算参考价（元）</w:t>
            </w:r>
          </w:p>
        </w:tc>
        <w:tc>
          <w:tcPr>
            <w:tcW w:w="552" w:type="pct"/>
            <w:vAlign w:val="center"/>
          </w:tcPr>
          <w:p>
            <w:pPr>
              <w:spacing w:line="288" w:lineRule="auto"/>
              <w:jc w:val="center"/>
              <w:rPr>
                <w:rFonts w:hint="eastAsia" w:ascii="仿宋" w:hAnsi="仿宋" w:eastAsia="仿宋" w:cs="仿宋"/>
                <w:bCs/>
              </w:rPr>
            </w:pPr>
            <w:r>
              <w:rPr>
                <w:rFonts w:hint="eastAsia" w:ascii="仿宋" w:hAnsi="仿宋" w:eastAsia="仿宋" w:cs="仿宋"/>
                <w:bCs/>
              </w:rPr>
              <w:t>入围报价（元）</w:t>
            </w:r>
          </w:p>
        </w:tc>
        <w:tc>
          <w:tcPr>
            <w:tcW w:w="552" w:type="pct"/>
            <w:vAlign w:val="center"/>
          </w:tcPr>
          <w:p>
            <w:pPr>
              <w:spacing w:line="288" w:lineRule="auto"/>
              <w:jc w:val="center"/>
              <w:rPr>
                <w:rFonts w:hint="eastAsia" w:ascii="仿宋" w:hAnsi="仿宋" w:eastAsia="仿宋" w:cs="仿宋"/>
                <w:bCs/>
              </w:rPr>
            </w:pPr>
            <w:r>
              <w:rPr>
                <w:rFonts w:hint="eastAsia" w:ascii="仿宋" w:hAnsi="仿宋" w:eastAsia="仿宋" w:cs="仿宋"/>
                <w:bCs/>
              </w:rPr>
              <w:t>入围折扣率（%）</w:t>
            </w:r>
          </w:p>
        </w:tc>
        <w:tc>
          <w:tcPr>
            <w:tcW w:w="552" w:type="pct"/>
            <w:vAlign w:val="center"/>
          </w:tcPr>
          <w:p>
            <w:pPr>
              <w:spacing w:line="288" w:lineRule="auto"/>
              <w:jc w:val="center"/>
              <w:rPr>
                <w:rFonts w:hint="eastAsia" w:ascii="仿宋" w:hAnsi="仿宋" w:eastAsia="仿宋" w:cs="仿宋"/>
                <w:b/>
              </w:rPr>
            </w:pPr>
            <w:r>
              <w:rPr>
                <w:rFonts w:hint="eastAsia" w:ascii="仿宋" w:hAnsi="仿宋" w:eastAsia="仿宋" w:cs="仿宋"/>
                <w:b/>
              </w:rPr>
              <w:t>二次采购报价（元）</w:t>
            </w:r>
          </w:p>
        </w:tc>
        <w:tc>
          <w:tcPr>
            <w:tcW w:w="533" w:type="pct"/>
            <w:vAlign w:val="center"/>
          </w:tcPr>
          <w:p>
            <w:pPr>
              <w:spacing w:line="288" w:lineRule="auto"/>
              <w:jc w:val="center"/>
              <w:rPr>
                <w:rFonts w:hint="eastAsia" w:ascii="仿宋" w:hAnsi="仿宋" w:eastAsia="仿宋" w:cs="仿宋"/>
                <w:b/>
              </w:rPr>
            </w:pPr>
            <w:r>
              <w:rPr>
                <w:rFonts w:hint="eastAsia" w:ascii="仿宋" w:hAnsi="仿宋" w:eastAsia="仿宋" w:cs="仿宋"/>
                <w:b/>
              </w:rPr>
              <w:t>二次折扣率（%）</w:t>
            </w:r>
          </w:p>
        </w:tc>
        <w:tc>
          <w:tcPr>
            <w:tcW w:w="503" w:type="pct"/>
            <w:vAlign w:val="center"/>
          </w:tcPr>
          <w:p>
            <w:pPr>
              <w:spacing w:line="288" w:lineRule="auto"/>
              <w:jc w:val="center"/>
              <w:rPr>
                <w:rFonts w:hint="eastAsia" w:ascii="仿宋" w:hAnsi="仿宋" w:eastAsia="仿宋" w:cs="仿宋"/>
                <w:b/>
              </w:rPr>
            </w:pPr>
            <w:r>
              <w:rPr>
                <w:rFonts w:hint="eastAsia" w:ascii="仿宋" w:hAnsi="仿宋" w:eastAsia="仿宋" w:cs="仿宋"/>
                <w:b/>
              </w:rPr>
              <w:t>二次平均折扣率</w:t>
            </w:r>
          </w:p>
        </w:tc>
        <w:tc>
          <w:tcPr>
            <w:tcW w:w="359" w:type="pct"/>
            <w:vAlign w:val="center"/>
          </w:tcPr>
          <w:p>
            <w:pPr>
              <w:widowControl/>
              <w:spacing w:line="288" w:lineRule="auto"/>
              <w:jc w:val="center"/>
              <w:rPr>
                <w:rFonts w:hint="eastAsia" w:ascii="仿宋" w:hAnsi="仿宋" w:eastAsia="仿宋" w:cs="仿宋"/>
              </w:rPr>
            </w:pPr>
            <w:r>
              <w:rPr>
                <w:rFonts w:hint="eastAsia" w:ascii="仿宋" w:hAnsi="仿宋" w:eastAsia="仿宋" w:cs="仿宋"/>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08" w:type="pct"/>
            <w:vAlign w:val="center"/>
          </w:tcPr>
          <w:p>
            <w:pPr>
              <w:widowControl/>
              <w:spacing w:line="288" w:lineRule="auto"/>
              <w:jc w:val="center"/>
              <w:textAlignment w:val="center"/>
              <w:rPr>
                <w:rFonts w:hint="eastAsia" w:ascii="仿宋" w:hAnsi="仿宋" w:eastAsia="仿宋" w:cs="仿宋"/>
              </w:rPr>
            </w:pPr>
            <w:r>
              <w:rPr>
                <w:rFonts w:hint="eastAsia" w:ascii="仿宋" w:hAnsi="仿宋" w:eastAsia="仿宋" w:cs="仿宋"/>
                <w:lang w:bidi="ar"/>
              </w:rPr>
              <w:t>1</w:t>
            </w:r>
          </w:p>
        </w:tc>
        <w:tc>
          <w:tcPr>
            <w:tcW w:w="348" w:type="pct"/>
            <w:vAlign w:val="center"/>
          </w:tcPr>
          <w:p>
            <w:pPr>
              <w:spacing w:line="288" w:lineRule="auto"/>
              <w:jc w:val="center"/>
              <w:rPr>
                <w:rFonts w:hint="eastAsia" w:ascii="仿宋" w:hAnsi="仿宋" w:eastAsia="仿宋" w:cs="仿宋"/>
              </w:rPr>
            </w:pPr>
            <w:r>
              <w:rPr>
                <w:rFonts w:hint="eastAsia" w:ascii="仿宋" w:hAnsi="仿宋" w:eastAsia="仿宋" w:cs="仿宋"/>
              </w:rPr>
              <w:t>例：一级大米</w:t>
            </w:r>
          </w:p>
        </w:tc>
        <w:tc>
          <w:tcPr>
            <w:tcW w:w="424" w:type="pct"/>
            <w:vAlign w:val="center"/>
          </w:tcPr>
          <w:p>
            <w:pPr>
              <w:spacing w:line="288" w:lineRule="auto"/>
              <w:jc w:val="center"/>
              <w:rPr>
                <w:rFonts w:hint="eastAsia" w:ascii="仿宋" w:hAnsi="仿宋" w:eastAsia="仿宋" w:cs="仿宋"/>
              </w:rPr>
            </w:pPr>
          </w:p>
        </w:tc>
        <w:tc>
          <w:tcPr>
            <w:tcW w:w="466" w:type="pct"/>
            <w:vAlign w:val="center"/>
          </w:tcPr>
          <w:p>
            <w:pPr>
              <w:widowControl/>
              <w:spacing w:line="288" w:lineRule="auto"/>
              <w:jc w:val="center"/>
              <w:rPr>
                <w:rFonts w:hint="eastAsia" w:ascii="仿宋" w:hAnsi="仿宋" w:eastAsia="仿宋" w:cs="仿宋"/>
                <w:bCs/>
              </w:rPr>
            </w:pPr>
          </w:p>
        </w:tc>
        <w:tc>
          <w:tcPr>
            <w:tcW w:w="499" w:type="pct"/>
            <w:vAlign w:val="center"/>
          </w:tcPr>
          <w:p>
            <w:pPr>
              <w:widowControl/>
              <w:spacing w:line="288" w:lineRule="auto"/>
              <w:jc w:val="center"/>
              <w:textAlignment w:val="center"/>
              <w:rPr>
                <w:rFonts w:hint="eastAsia" w:ascii="仿宋" w:hAnsi="仿宋" w:eastAsia="仿宋" w:cs="仿宋"/>
                <w:bCs/>
              </w:rPr>
            </w:pPr>
            <w:r>
              <w:rPr>
                <w:rFonts w:hint="eastAsia" w:ascii="仿宋" w:hAnsi="仿宋" w:eastAsia="仿宋" w:cs="仿宋"/>
                <w:color w:val="000000"/>
                <w:lang w:bidi="ar"/>
              </w:rPr>
              <w:t>例：2.8</w:t>
            </w:r>
          </w:p>
        </w:tc>
        <w:tc>
          <w:tcPr>
            <w:tcW w:w="552" w:type="pct"/>
            <w:vAlign w:val="center"/>
          </w:tcPr>
          <w:p>
            <w:pPr>
              <w:spacing w:line="288" w:lineRule="auto"/>
              <w:jc w:val="center"/>
              <w:rPr>
                <w:rFonts w:hint="eastAsia" w:ascii="仿宋" w:hAnsi="仿宋" w:eastAsia="仿宋" w:cs="仿宋"/>
                <w:bCs/>
              </w:rPr>
            </w:pPr>
          </w:p>
        </w:tc>
        <w:tc>
          <w:tcPr>
            <w:tcW w:w="552" w:type="pct"/>
            <w:vAlign w:val="center"/>
          </w:tcPr>
          <w:p>
            <w:pPr>
              <w:spacing w:line="288" w:lineRule="auto"/>
              <w:jc w:val="center"/>
              <w:rPr>
                <w:rFonts w:hint="eastAsia" w:ascii="仿宋" w:hAnsi="仿宋" w:eastAsia="仿宋" w:cs="仿宋"/>
                <w:bCs/>
              </w:rPr>
            </w:pPr>
          </w:p>
        </w:tc>
        <w:tc>
          <w:tcPr>
            <w:tcW w:w="552" w:type="pct"/>
            <w:vAlign w:val="center"/>
          </w:tcPr>
          <w:p>
            <w:pPr>
              <w:spacing w:line="288" w:lineRule="auto"/>
              <w:jc w:val="center"/>
              <w:rPr>
                <w:rFonts w:hint="eastAsia" w:ascii="仿宋" w:hAnsi="仿宋" w:eastAsia="仿宋" w:cs="仿宋"/>
                <w:bCs/>
              </w:rPr>
            </w:pPr>
          </w:p>
        </w:tc>
        <w:tc>
          <w:tcPr>
            <w:tcW w:w="533" w:type="pct"/>
            <w:vAlign w:val="center"/>
          </w:tcPr>
          <w:p>
            <w:pPr>
              <w:spacing w:line="288" w:lineRule="auto"/>
              <w:jc w:val="center"/>
              <w:rPr>
                <w:rFonts w:hint="eastAsia" w:ascii="仿宋" w:hAnsi="仿宋" w:eastAsia="仿宋" w:cs="仿宋"/>
                <w:bCs/>
              </w:rPr>
            </w:pPr>
          </w:p>
        </w:tc>
        <w:tc>
          <w:tcPr>
            <w:tcW w:w="503" w:type="pct"/>
            <w:vMerge w:val="restart"/>
            <w:vAlign w:val="center"/>
          </w:tcPr>
          <w:p>
            <w:pPr>
              <w:spacing w:line="288" w:lineRule="auto"/>
              <w:jc w:val="center"/>
              <w:rPr>
                <w:rFonts w:hint="eastAsia" w:ascii="仿宋" w:hAnsi="仿宋" w:eastAsia="仿宋" w:cs="仿宋"/>
                <w:bCs/>
              </w:rPr>
            </w:pPr>
          </w:p>
        </w:tc>
        <w:tc>
          <w:tcPr>
            <w:tcW w:w="359" w:type="pct"/>
            <w:vAlign w:val="center"/>
          </w:tcPr>
          <w:p>
            <w:pPr>
              <w:widowControl/>
              <w:spacing w:line="288"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208" w:type="pct"/>
            <w:vAlign w:val="center"/>
          </w:tcPr>
          <w:p>
            <w:pPr>
              <w:widowControl/>
              <w:spacing w:line="288" w:lineRule="auto"/>
              <w:jc w:val="center"/>
              <w:textAlignment w:val="center"/>
              <w:rPr>
                <w:rFonts w:hint="eastAsia" w:ascii="仿宋" w:hAnsi="仿宋" w:eastAsia="仿宋" w:cs="仿宋"/>
              </w:rPr>
            </w:pPr>
            <w:r>
              <w:rPr>
                <w:rFonts w:hint="eastAsia" w:ascii="仿宋" w:hAnsi="仿宋" w:eastAsia="仿宋" w:cs="仿宋"/>
                <w:lang w:bidi="ar"/>
              </w:rPr>
              <w:t>2</w:t>
            </w:r>
          </w:p>
        </w:tc>
        <w:tc>
          <w:tcPr>
            <w:tcW w:w="348" w:type="pct"/>
            <w:vAlign w:val="center"/>
          </w:tcPr>
          <w:p>
            <w:pPr>
              <w:spacing w:line="288" w:lineRule="auto"/>
              <w:jc w:val="center"/>
              <w:rPr>
                <w:rFonts w:hint="eastAsia" w:ascii="仿宋" w:hAnsi="仿宋" w:eastAsia="仿宋" w:cs="仿宋"/>
              </w:rPr>
            </w:pPr>
            <w:r>
              <w:rPr>
                <w:rFonts w:hint="eastAsia" w:ascii="仿宋" w:hAnsi="仿宋" w:eastAsia="仿宋" w:cs="仿宋"/>
                <w:color w:val="000000"/>
                <w:lang w:bidi="ar"/>
              </w:rPr>
              <w:t>例：</w:t>
            </w:r>
            <w:r>
              <w:rPr>
                <w:rFonts w:hint="eastAsia" w:ascii="仿宋" w:hAnsi="仿宋" w:eastAsia="仿宋" w:cs="仿宋"/>
              </w:rPr>
              <w:t>优质一级大米</w:t>
            </w:r>
          </w:p>
        </w:tc>
        <w:tc>
          <w:tcPr>
            <w:tcW w:w="424" w:type="pct"/>
            <w:vAlign w:val="center"/>
          </w:tcPr>
          <w:p>
            <w:pPr>
              <w:spacing w:line="288" w:lineRule="auto"/>
              <w:jc w:val="center"/>
              <w:rPr>
                <w:rFonts w:hint="eastAsia" w:ascii="仿宋" w:hAnsi="仿宋" w:eastAsia="仿宋" w:cs="仿宋"/>
              </w:rPr>
            </w:pPr>
          </w:p>
        </w:tc>
        <w:tc>
          <w:tcPr>
            <w:tcW w:w="466" w:type="pct"/>
            <w:vAlign w:val="center"/>
          </w:tcPr>
          <w:p>
            <w:pPr>
              <w:widowControl/>
              <w:spacing w:line="288" w:lineRule="auto"/>
              <w:jc w:val="center"/>
              <w:rPr>
                <w:rFonts w:hint="eastAsia" w:ascii="仿宋" w:hAnsi="仿宋" w:eastAsia="仿宋" w:cs="仿宋"/>
                <w:bCs/>
              </w:rPr>
            </w:pPr>
          </w:p>
        </w:tc>
        <w:tc>
          <w:tcPr>
            <w:tcW w:w="499" w:type="pct"/>
            <w:vAlign w:val="center"/>
          </w:tcPr>
          <w:p>
            <w:pPr>
              <w:widowControl/>
              <w:spacing w:line="288" w:lineRule="auto"/>
              <w:jc w:val="center"/>
              <w:textAlignment w:val="center"/>
              <w:rPr>
                <w:rFonts w:hint="eastAsia" w:ascii="仿宋" w:hAnsi="仿宋" w:eastAsia="仿宋" w:cs="仿宋"/>
                <w:bCs/>
              </w:rPr>
            </w:pPr>
            <w:r>
              <w:rPr>
                <w:rFonts w:hint="eastAsia" w:ascii="仿宋" w:hAnsi="仿宋" w:eastAsia="仿宋" w:cs="仿宋"/>
                <w:color w:val="000000"/>
                <w:lang w:bidi="ar"/>
              </w:rPr>
              <w:t>例：3.5</w:t>
            </w:r>
          </w:p>
        </w:tc>
        <w:tc>
          <w:tcPr>
            <w:tcW w:w="552" w:type="pct"/>
            <w:vAlign w:val="center"/>
          </w:tcPr>
          <w:p>
            <w:pPr>
              <w:spacing w:line="288" w:lineRule="auto"/>
              <w:jc w:val="center"/>
              <w:rPr>
                <w:rFonts w:hint="eastAsia" w:ascii="仿宋" w:hAnsi="仿宋" w:eastAsia="仿宋" w:cs="仿宋"/>
                <w:bCs/>
              </w:rPr>
            </w:pPr>
          </w:p>
        </w:tc>
        <w:tc>
          <w:tcPr>
            <w:tcW w:w="552" w:type="pct"/>
            <w:vAlign w:val="center"/>
          </w:tcPr>
          <w:p>
            <w:pPr>
              <w:spacing w:line="288" w:lineRule="auto"/>
              <w:jc w:val="center"/>
              <w:rPr>
                <w:rFonts w:hint="eastAsia" w:ascii="仿宋" w:hAnsi="仿宋" w:eastAsia="仿宋" w:cs="仿宋"/>
                <w:bCs/>
              </w:rPr>
            </w:pPr>
          </w:p>
        </w:tc>
        <w:tc>
          <w:tcPr>
            <w:tcW w:w="552" w:type="pct"/>
            <w:vAlign w:val="center"/>
          </w:tcPr>
          <w:p>
            <w:pPr>
              <w:spacing w:line="288" w:lineRule="auto"/>
              <w:jc w:val="center"/>
              <w:rPr>
                <w:rFonts w:hint="eastAsia" w:ascii="仿宋" w:hAnsi="仿宋" w:eastAsia="仿宋" w:cs="仿宋"/>
                <w:bCs/>
              </w:rPr>
            </w:pPr>
          </w:p>
        </w:tc>
        <w:tc>
          <w:tcPr>
            <w:tcW w:w="533" w:type="pct"/>
            <w:vAlign w:val="center"/>
          </w:tcPr>
          <w:p>
            <w:pPr>
              <w:spacing w:line="288" w:lineRule="auto"/>
              <w:jc w:val="center"/>
              <w:rPr>
                <w:rFonts w:hint="eastAsia" w:ascii="仿宋" w:hAnsi="仿宋" w:eastAsia="仿宋" w:cs="仿宋"/>
                <w:bCs/>
              </w:rPr>
            </w:pPr>
          </w:p>
        </w:tc>
        <w:tc>
          <w:tcPr>
            <w:tcW w:w="503" w:type="pct"/>
            <w:vMerge w:val="continue"/>
            <w:vAlign w:val="center"/>
          </w:tcPr>
          <w:p>
            <w:pPr>
              <w:spacing w:line="288" w:lineRule="auto"/>
              <w:jc w:val="center"/>
              <w:rPr>
                <w:rFonts w:hint="eastAsia" w:ascii="仿宋" w:hAnsi="仿宋" w:eastAsia="仿宋" w:cs="仿宋"/>
                <w:bCs/>
              </w:rPr>
            </w:pPr>
          </w:p>
        </w:tc>
        <w:tc>
          <w:tcPr>
            <w:tcW w:w="359" w:type="pct"/>
            <w:vAlign w:val="center"/>
          </w:tcPr>
          <w:p>
            <w:pPr>
              <w:widowControl/>
              <w:spacing w:line="288"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08" w:type="pct"/>
            <w:vAlign w:val="center"/>
          </w:tcPr>
          <w:p>
            <w:pPr>
              <w:widowControl/>
              <w:spacing w:line="288" w:lineRule="auto"/>
              <w:jc w:val="center"/>
              <w:textAlignment w:val="center"/>
              <w:rPr>
                <w:rFonts w:hint="eastAsia" w:ascii="仿宋" w:hAnsi="仿宋" w:eastAsia="仿宋" w:cs="仿宋"/>
              </w:rPr>
            </w:pPr>
          </w:p>
        </w:tc>
        <w:tc>
          <w:tcPr>
            <w:tcW w:w="348" w:type="pct"/>
            <w:vAlign w:val="center"/>
          </w:tcPr>
          <w:p>
            <w:pPr>
              <w:spacing w:line="288" w:lineRule="auto"/>
              <w:jc w:val="center"/>
              <w:rPr>
                <w:rFonts w:hint="eastAsia" w:ascii="仿宋" w:hAnsi="仿宋" w:eastAsia="仿宋" w:cs="仿宋"/>
              </w:rPr>
            </w:pPr>
            <w:r>
              <w:rPr>
                <w:rFonts w:hint="eastAsia" w:ascii="仿宋" w:hAnsi="仿宋" w:eastAsia="仿宋" w:cs="仿宋"/>
              </w:rPr>
              <w:t>......</w:t>
            </w:r>
          </w:p>
        </w:tc>
        <w:tc>
          <w:tcPr>
            <w:tcW w:w="424" w:type="pct"/>
            <w:vAlign w:val="center"/>
          </w:tcPr>
          <w:p>
            <w:pPr>
              <w:spacing w:line="288" w:lineRule="auto"/>
              <w:jc w:val="center"/>
              <w:rPr>
                <w:rFonts w:hint="eastAsia" w:ascii="仿宋" w:hAnsi="仿宋" w:eastAsia="仿宋" w:cs="仿宋"/>
              </w:rPr>
            </w:pPr>
          </w:p>
        </w:tc>
        <w:tc>
          <w:tcPr>
            <w:tcW w:w="466" w:type="pct"/>
          </w:tcPr>
          <w:p>
            <w:pPr>
              <w:widowControl/>
              <w:spacing w:line="288" w:lineRule="auto"/>
              <w:jc w:val="center"/>
              <w:rPr>
                <w:rFonts w:hint="eastAsia" w:ascii="仿宋" w:hAnsi="仿宋" w:eastAsia="仿宋" w:cs="仿宋"/>
                <w:bCs/>
              </w:rPr>
            </w:pPr>
          </w:p>
        </w:tc>
        <w:tc>
          <w:tcPr>
            <w:tcW w:w="499" w:type="pct"/>
          </w:tcPr>
          <w:p>
            <w:pPr>
              <w:widowControl/>
              <w:spacing w:line="288" w:lineRule="auto"/>
              <w:jc w:val="center"/>
              <w:textAlignment w:val="top"/>
              <w:rPr>
                <w:rFonts w:hint="eastAsia" w:ascii="仿宋" w:hAnsi="仿宋" w:eastAsia="仿宋" w:cs="仿宋"/>
                <w:bCs/>
              </w:rPr>
            </w:pPr>
          </w:p>
        </w:tc>
        <w:tc>
          <w:tcPr>
            <w:tcW w:w="552" w:type="pct"/>
          </w:tcPr>
          <w:p>
            <w:pPr>
              <w:spacing w:line="288" w:lineRule="auto"/>
              <w:jc w:val="center"/>
              <w:rPr>
                <w:rFonts w:hint="eastAsia" w:ascii="仿宋" w:hAnsi="仿宋" w:eastAsia="仿宋" w:cs="仿宋"/>
                <w:bCs/>
              </w:rPr>
            </w:pPr>
          </w:p>
        </w:tc>
        <w:tc>
          <w:tcPr>
            <w:tcW w:w="552" w:type="pct"/>
          </w:tcPr>
          <w:p>
            <w:pPr>
              <w:spacing w:line="288" w:lineRule="auto"/>
              <w:jc w:val="center"/>
              <w:rPr>
                <w:rFonts w:hint="eastAsia" w:ascii="仿宋" w:hAnsi="仿宋" w:eastAsia="仿宋" w:cs="仿宋"/>
                <w:bCs/>
              </w:rPr>
            </w:pPr>
          </w:p>
        </w:tc>
        <w:tc>
          <w:tcPr>
            <w:tcW w:w="552" w:type="pct"/>
          </w:tcPr>
          <w:p>
            <w:pPr>
              <w:spacing w:line="288" w:lineRule="auto"/>
              <w:jc w:val="center"/>
              <w:rPr>
                <w:rFonts w:hint="eastAsia" w:ascii="仿宋" w:hAnsi="仿宋" w:eastAsia="仿宋" w:cs="仿宋"/>
                <w:bCs/>
              </w:rPr>
            </w:pPr>
          </w:p>
        </w:tc>
        <w:tc>
          <w:tcPr>
            <w:tcW w:w="533" w:type="pct"/>
          </w:tcPr>
          <w:p>
            <w:pPr>
              <w:spacing w:line="288" w:lineRule="auto"/>
              <w:jc w:val="center"/>
              <w:rPr>
                <w:rFonts w:hint="eastAsia" w:ascii="仿宋" w:hAnsi="仿宋" w:eastAsia="仿宋" w:cs="仿宋"/>
                <w:bCs/>
              </w:rPr>
            </w:pPr>
          </w:p>
        </w:tc>
        <w:tc>
          <w:tcPr>
            <w:tcW w:w="503" w:type="pct"/>
            <w:vMerge w:val="continue"/>
          </w:tcPr>
          <w:p>
            <w:pPr>
              <w:spacing w:line="288" w:lineRule="auto"/>
              <w:jc w:val="center"/>
              <w:rPr>
                <w:rFonts w:hint="eastAsia" w:ascii="仿宋" w:hAnsi="仿宋" w:eastAsia="仿宋" w:cs="仿宋"/>
                <w:bCs/>
              </w:rPr>
            </w:pPr>
          </w:p>
        </w:tc>
        <w:tc>
          <w:tcPr>
            <w:tcW w:w="359" w:type="pct"/>
          </w:tcPr>
          <w:p>
            <w:pPr>
              <w:widowControl/>
              <w:spacing w:line="288"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08" w:type="pct"/>
            <w:vAlign w:val="center"/>
          </w:tcPr>
          <w:p>
            <w:pPr>
              <w:widowControl/>
              <w:spacing w:line="288" w:lineRule="auto"/>
              <w:jc w:val="center"/>
              <w:textAlignment w:val="center"/>
              <w:rPr>
                <w:rFonts w:hint="eastAsia" w:ascii="仿宋" w:hAnsi="仿宋" w:eastAsia="仿宋" w:cs="仿宋"/>
              </w:rPr>
            </w:pPr>
          </w:p>
        </w:tc>
        <w:tc>
          <w:tcPr>
            <w:tcW w:w="348" w:type="pct"/>
            <w:vAlign w:val="center"/>
          </w:tcPr>
          <w:p>
            <w:pPr>
              <w:spacing w:line="288" w:lineRule="auto"/>
              <w:jc w:val="center"/>
              <w:rPr>
                <w:rFonts w:hint="eastAsia" w:ascii="仿宋" w:hAnsi="仿宋" w:eastAsia="仿宋" w:cs="仿宋"/>
              </w:rPr>
            </w:pPr>
          </w:p>
        </w:tc>
        <w:tc>
          <w:tcPr>
            <w:tcW w:w="424" w:type="pct"/>
            <w:vAlign w:val="center"/>
          </w:tcPr>
          <w:p>
            <w:pPr>
              <w:spacing w:line="288" w:lineRule="auto"/>
              <w:jc w:val="center"/>
              <w:rPr>
                <w:rFonts w:hint="eastAsia" w:ascii="仿宋" w:hAnsi="仿宋" w:eastAsia="仿宋" w:cs="仿宋"/>
              </w:rPr>
            </w:pPr>
          </w:p>
        </w:tc>
        <w:tc>
          <w:tcPr>
            <w:tcW w:w="466" w:type="pct"/>
          </w:tcPr>
          <w:p>
            <w:pPr>
              <w:widowControl/>
              <w:spacing w:line="288" w:lineRule="auto"/>
              <w:jc w:val="center"/>
              <w:rPr>
                <w:rFonts w:hint="eastAsia" w:ascii="仿宋" w:hAnsi="仿宋" w:eastAsia="仿宋" w:cs="仿宋"/>
                <w:bCs/>
              </w:rPr>
            </w:pPr>
          </w:p>
        </w:tc>
        <w:tc>
          <w:tcPr>
            <w:tcW w:w="499" w:type="pct"/>
          </w:tcPr>
          <w:p>
            <w:pPr>
              <w:widowControl/>
              <w:spacing w:line="288" w:lineRule="auto"/>
              <w:jc w:val="center"/>
              <w:textAlignment w:val="top"/>
              <w:rPr>
                <w:rFonts w:hint="eastAsia" w:ascii="仿宋" w:hAnsi="仿宋" w:eastAsia="仿宋" w:cs="仿宋"/>
                <w:bCs/>
              </w:rPr>
            </w:pPr>
          </w:p>
        </w:tc>
        <w:tc>
          <w:tcPr>
            <w:tcW w:w="552" w:type="pct"/>
          </w:tcPr>
          <w:p>
            <w:pPr>
              <w:spacing w:line="288" w:lineRule="auto"/>
              <w:jc w:val="center"/>
              <w:rPr>
                <w:rFonts w:hint="eastAsia" w:ascii="仿宋" w:hAnsi="仿宋" w:eastAsia="仿宋" w:cs="仿宋"/>
                <w:bCs/>
              </w:rPr>
            </w:pPr>
          </w:p>
        </w:tc>
        <w:tc>
          <w:tcPr>
            <w:tcW w:w="552" w:type="pct"/>
          </w:tcPr>
          <w:p>
            <w:pPr>
              <w:spacing w:line="288" w:lineRule="auto"/>
              <w:jc w:val="center"/>
              <w:rPr>
                <w:rFonts w:hint="eastAsia" w:ascii="仿宋" w:hAnsi="仿宋" w:eastAsia="仿宋" w:cs="仿宋"/>
                <w:bCs/>
              </w:rPr>
            </w:pPr>
          </w:p>
        </w:tc>
        <w:tc>
          <w:tcPr>
            <w:tcW w:w="552" w:type="pct"/>
          </w:tcPr>
          <w:p>
            <w:pPr>
              <w:spacing w:line="288" w:lineRule="auto"/>
              <w:jc w:val="center"/>
              <w:rPr>
                <w:rFonts w:hint="eastAsia" w:ascii="仿宋" w:hAnsi="仿宋" w:eastAsia="仿宋" w:cs="仿宋"/>
                <w:bCs/>
              </w:rPr>
            </w:pPr>
          </w:p>
        </w:tc>
        <w:tc>
          <w:tcPr>
            <w:tcW w:w="533" w:type="pct"/>
          </w:tcPr>
          <w:p>
            <w:pPr>
              <w:spacing w:line="288" w:lineRule="auto"/>
              <w:jc w:val="center"/>
              <w:rPr>
                <w:rFonts w:hint="eastAsia" w:ascii="仿宋" w:hAnsi="仿宋" w:eastAsia="仿宋" w:cs="仿宋"/>
                <w:bCs/>
              </w:rPr>
            </w:pPr>
          </w:p>
        </w:tc>
        <w:tc>
          <w:tcPr>
            <w:tcW w:w="503" w:type="pct"/>
            <w:vMerge w:val="continue"/>
          </w:tcPr>
          <w:p>
            <w:pPr>
              <w:spacing w:line="288" w:lineRule="auto"/>
              <w:jc w:val="center"/>
              <w:rPr>
                <w:rFonts w:hint="eastAsia" w:ascii="仿宋" w:hAnsi="仿宋" w:eastAsia="仿宋" w:cs="仿宋"/>
                <w:bCs/>
              </w:rPr>
            </w:pPr>
          </w:p>
        </w:tc>
        <w:tc>
          <w:tcPr>
            <w:tcW w:w="359" w:type="pct"/>
          </w:tcPr>
          <w:p>
            <w:pPr>
              <w:widowControl/>
              <w:spacing w:line="288"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08" w:type="pct"/>
            <w:vAlign w:val="center"/>
          </w:tcPr>
          <w:p>
            <w:pPr>
              <w:widowControl/>
              <w:spacing w:line="288" w:lineRule="auto"/>
              <w:jc w:val="center"/>
              <w:textAlignment w:val="center"/>
              <w:rPr>
                <w:rFonts w:hint="eastAsia" w:ascii="仿宋" w:hAnsi="仿宋" w:eastAsia="仿宋" w:cs="仿宋"/>
              </w:rPr>
            </w:pPr>
          </w:p>
        </w:tc>
        <w:tc>
          <w:tcPr>
            <w:tcW w:w="348" w:type="pct"/>
            <w:vAlign w:val="center"/>
          </w:tcPr>
          <w:p>
            <w:pPr>
              <w:spacing w:line="288" w:lineRule="auto"/>
              <w:jc w:val="center"/>
              <w:rPr>
                <w:rFonts w:hint="eastAsia" w:ascii="仿宋" w:hAnsi="仿宋" w:eastAsia="仿宋" w:cs="仿宋"/>
              </w:rPr>
            </w:pPr>
          </w:p>
        </w:tc>
        <w:tc>
          <w:tcPr>
            <w:tcW w:w="424" w:type="pct"/>
            <w:vAlign w:val="center"/>
          </w:tcPr>
          <w:p>
            <w:pPr>
              <w:spacing w:line="288" w:lineRule="auto"/>
              <w:jc w:val="center"/>
              <w:rPr>
                <w:rFonts w:hint="eastAsia" w:ascii="仿宋" w:hAnsi="仿宋" w:eastAsia="仿宋" w:cs="仿宋"/>
              </w:rPr>
            </w:pPr>
          </w:p>
        </w:tc>
        <w:tc>
          <w:tcPr>
            <w:tcW w:w="466" w:type="pct"/>
          </w:tcPr>
          <w:p>
            <w:pPr>
              <w:widowControl/>
              <w:spacing w:line="288" w:lineRule="auto"/>
              <w:jc w:val="center"/>
              <w:rPr>
                <w:rFonts w:hint="eastAsia" w:ascii="仿宋" w:hAnsi="仿宋" w:eastAsia="仿宋" w:cs="仿宋"/>
                <w:bCs/>
              </w:rPr>
            </w:pPr>
          </w:p>
        </w:tc>
        <w:tc>
          <w:tcPr>
            <w:tcW w:w="499" w:type="pct"/>
          </w:tcPr>
          <w:p>
            <w:pPr>
              <w:widowControl/>
              <w:spacing w:line="288" w:lineRule="auto"/>
              <w:jc w:val="center"/>
              <w:textAlignment w:val="top"/>
              <w:rPr>
                <w:rFonts w:hint="eastAsia" w:ascii="仿宋" w:hAnsi="仿宋" w:eastAsia="仿宋" w:cs="仿宋"/>
                <w:bCs/>
              </w:rPr>
            </w:pPr>
          </w:p>
        </w:tc>
        <w:tc>
          <w:tcPr>
            <w:tcW w:w="552" w:type="pct"/>
          </w:tcPr>
          <w:p>
            <w:pPr>
              <w:spacing w:line="288" w:lineRule="auto"/>
              <w:jc w:val="center"/>
              <w:rPr>
                <w:rFonts w:hint="eastAsia" w:ascii="仿宋" w:hAnsi="仿宋" w:eastAsia="仿宋" w:cs="仿宋"/>
                <w:bCs/>
              </w:rPr>
            </w:pPr>
          </w:p>
        </w:tc>
        <w:tc>
          <w:tcPr>
            <w:tcW w:w="552" w:type="pct"/>
          </w:tcPr>
          <w:p>
            <w:pPr>
              <w:spacing w:line="288" w:lineRule="auto"/>
              <w:jc w:val="center"/>
              <w:rPr>
                <w:rFonts w:hint="eastAsia" w:ascii="仿宋" w:hAnsi="仿宋" w:eastAsia="仿宋" w:cs="仿宋"/>
                <w:bCs/>
              </w:rPr>
            </w:pPr>
          </w:p>
        </w:tc>
        <w:tc>
          <w:tcPr>
            <w:tcW w:w="552" w:type="pct"/>
          </w:tcPr>
          <w:p>
            <w:pPr>
              <w:spacing w:line="288" w:lineRule="auto"/>
              <w:jc w:val="center"/>
              <w:rPr>
                <w:rFonts w:hint="eastAsia" w:ascii="仿宋" w:hAnsi="仿宋" w:eastAsia="仿宋" w:cs="仿宋"/>
                <w:bCs/>
              </w:rPr>
            </w:pPr>
          </w:p>
        </w:tc>
        <w:tc>
          <w:tcPr>
            <w:tcW w:w="533" w:type="pct"/>
          </w:tcPr>
          <w:p>
            <w:pPr>
              <w:spacing w:line="288" w:lineRule="auto"/>
              <w:jc w:val="center"/>
              <w:rPr>
                <w:rFonts w:hint="eastAsia" w:ascii="仿宋" w:hAnsi="仿宋" w:eastAsia="仿宋" w:cs="仿宋"/>
                <w:bCs/>
              </w:rPr>
            </w:pPr>
          </w:p>
        </w:tc>
        <w:tc>
          <w:tcPr>
            <w:tcW w:w="503" w:type="pct"/>
            <w:vMerge w:val="continue"/>
          </w:tcPr>
          <w:p>
            <w:pPr>
              <w:spacing w:line="288" w:lineRule="auto"/>
              <w:jc w:val="center"/>
              <w:rPr>
                <w:rFonts w:hint="eastAsia" w:ascii="仿宋" w:hAnsi="仿宋" w:eastAsia="仿宋" w:cs="仿宋"/>
                <w:bCs/>
              </w:rPr>
            </w:pPr>
          </w:p>
        </w:tc>
        <w:tc>
          <w:tcPr>
            <w:tcW w:w="359" w:type="pct"/>
          </w:tcPr>
          <w:p>
            <w:pPr>
              <w:widowControl/>
              <w:spacing w:line="288"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08" w:type="pct"/>
            <w:vAlign w:val="center"/>
          </w:tcPr>
          <w:p>
            <w:pPr>
              <w:widowControl/>
              <w:spacing w:line="288" w:lineRule="auto"/>
              <w:jc w:val="center"/>
              <w:textAlignment w:val="center"/>
              <w:rPr>
                <w:rFonts w:hint="eastAsia" w:ascii="仿宋" w:hAnsi="仿宋" w:eastAsia="仿宋" w:cs="仿宋"/>
              </w:rPr>
            </w:pPr>
          </w:p>
        </w:tc>
        <w:tc>
          <w:tcPr>
            <w:tcW w:w="348" w:type="pct"/>
            <w:vAlign w:val="center"/>
          </w:tcPr>
          <w:p>
            <w:pPr>
              <w:spacing w:line="288" w:lineRule="auto"/>
              <w:jc w:val="center"/>
              <w:rPr>
                <w:rFonts w:hint="eastAsia" w:ascii="仿宋" w:hAnsi="仿宋" w:eastAsia="仿宋" w:cs="仿宋"/>
              </w:rPr>
            </w:pPr>
          </w:p>
        </w:tc>
        <w:tc>
          <w:tcPr>
            <w:tcW w:w="424" w:type="pct"/>
            <w:vAlign w:val="center"/>
          </w:tcPr>
          <w:p>
            <w:pPr>
              <w:spacing w:line="288" w:lineRule="auto"/>
              <w:jc w:val="center"/>
              <w:rPr>
                <w:rFonts w:hint="eastAsia" w:ascii="仿宋" w:hAnsi="仿宋" w:eastAsia="仿宋" w:cs="仿宋"/>
              </w:rPr>
            </w:pPr>
          </w:p>
        </w:tc>
        <w:tc>
          <w:tcPr>
            <w:tcW w:w="466" w:type="pct"/>
          </w:tcPr>
          <w:p>
            <w:pPr>
              <w:widowControl/>
              <w:spacing w:line="288" w:lineRule="auto"/>
              <w:jc w:val="center"/>
              <w:rPr>
                <w:rFonts w:hint="eastAsia" w:ascii="仿宋" w:hAnsi="仿宋" w:eastAsia="仿宋" w:cs="仿宋"/>
                <w:bCs/>
              </w:rPr>
            </w:pPr>
          </w:p>
        </w:tc>
        <w:tc>
          <w:tcPr>
            <w:tcW w:w="499" w:type="pct"/>
          </w:tcPr>
          <w:p>
            <w:pPr>
              <w:widowControl/>
              <w:spacing w:line="288" w:lineRule="auto"/>
              <w:jc w:val="center"/>
              <w:textAlignment w:val="top"/>
              <w:rPr>
                <w:rFonts w:hint="eastAsia" w:ascii="仿宋" w:hAnsi="仿宋" w:eastAsia="仿宋" w:cs="仿宋"/>
                <w:bCs/>
              </w:rPr>
            </w:pPr>
          </w:p>
        </w:tc>
        <w:tc>
          <w:tcPr>
            <w:tcW w:w="552" w:type="pct"/>
          </w:tcPr>
          <w:p>
            <w:pPr>
              <w:spacing w:line="288" w:lineRule="auto"/>
              <w:jc w:val="center"/>
              <w:rPr>
                <w:rFonts w:hint="eastAsia" w:ascii="仿宋" w:hAnsi="仿宋" w:eastAsia="仿宋" w:cs="仿宋"/>
                <w:bCs/>
              </w:rPr>
            </w:pPr>
          </w:p>
        </w:tc>
        <w:tc>
          <w:tcPr>
            <w:tcW w:w="552" w:type="pct"/>
          </w:tcPr>
          <w:p>
            <w:pPr>
              <w:spacing w:line="288" w:lineRule="auto"/>
              <w:jc w:val="center"/>
              <w:rPr>
                <w:rFonts w:hint="eastAsia" w:ascii="仿宋" w:hAnsi="仿宋" w:eastAsia="仿宋" w:cs="仿宋"/>
                <w:bCs/>
              </w:rPr>
            </w:pPr>
          </w:p>
        </w:tc>
        <w:tc>
          <w:tcPr>
            <w:tcW w:w="552" w:type="pct"/>
          </w:tcPr>
          <w:p>
            <w:pPr>
              <w:spacing w:line="288" w:lineRule="auto"/>
              <w:jc w:val="center"/>
              <w:rPr>
                <w:rFonts w:hint="eastAsia" w:ascii="仿宋" w:hAnsi="仿宋" w:eastAsia="仿宋" w:cs="仿宋"/>
                <w:bCs/>
              </w:rPr>
            </w:pPr>
          </w:p>
        </w:tc>
        <w:tc>
          <w:tcPr>
            <w:tcW w:w="533" w:type="pct"/>
          </w:tcPr>
          <w:p>
            <w:pPr>
              <w:spacing w:line="288" w:lineRule="auto"/>
              <w:jc w:val="center"/>
              <w:rPr>
                <w:rFonts w:hint="eastAsia" w:ascii="仿宋" w:hAnsi="仿宋" w:eastAsia="仿宋" w:cs="仿宋"/>
                <w:bCs/>
              </w:rPr>
            </w:pPr>
          </w:p>
        </w:tc>
        <w:tc>
          <w:tcPr>
            <w:tcW w:w="503" w:type="pct"/>
            <w:vMerge w:val="continue"/>
          </w:tcPr>
          <w:p>
            <w:pPr>
              <w:spacing w:line="288" w:lineRule="auto"/>
              <w:jc w:val="center"/>
              <w:rPr>
                <w:rFonts w:hint="eastAsia" w:ascii="仿宋" w:hAnsi="仿宋" w:eastAsia="仿宋" w:cs="仿宋"/>
                <w:bCs/>
              </w:rPr>
            </w:pPr>
          </w:p>
        </w:tc>
        <w:tc>
          <w:tcPr>
            <w:tcW w:w="359" w:type="pct"/>
          </w:tcPr>
          <w:p>
            <w:pPr>
              <w:widowControl/>
              <w:spacing w:line="288"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08" w:type="pct"/>
            <w:vAlign w:val="center"/>
          </w:tcPr>
          <w:p>
            <w:pPr>
              <w:widowControl/>
              <w:spacing w:line="288" w:lineRule="auto"/>
              <w:jc w:val="center"/>
              <w:textAlignment w:val="center"/>
              <w:rPr>
                <w:rFonts w:hint="eastAsia" w:ascii="仿宋" w:hAnsi="仿宋" w:eastAsia="仿宋" w:cs="仿宋"/>
              </w:rPr>
            </w:pPr>
          </w:p>
        </w:tc>
        <w:tc>
          <w:tcPr>
            <w:tcW w:w="348" w:type="pct"/>
            <w:vAlign w:val="center"/>
          </w:tcPr>
          <w:p>
            <w:pPr>
              <w:spacing w:line="288" w:lineRule="auto"/>
              <w:jc w:val="center"/>
              <w:rPr>
                <w:rFonts w:hint="eastAsia" w:ascii="仿宋" w:hAnsi="仿宋" w:eastAsia="仿宋" w:cs="仿宋"/>
              </w:rPr>
            </w:pPr>
          </w:p>
        </w:tc>
        <w:tc>
          <w:tcPr>
            <w:tcW w:w="424" w:type="pct"/>
            <w:vAlign w:val="center"/>
          </w:tcPr>
          <w:p>
            <w:pPr>
              <w:spacing w:line="288" w:lineRule="auto"/>
              <w:jc w:val="center"/>
              <w:rPr>
                <w:rFonts w:hint="eastAsia" w:ascii="仿宋" w:hAnsi="仿宋" w:eastAsia="仿宋" w:cs="仿宋"/>
              </w:rPr>
            </w:pPr>
          </w:p>
        </w:tc>
        <w:tc>
          <w:tcPr>
            <w:tcW w:w="466" w:type="pct"/>
          </w:tcPr>
          <w:p>
            <w:pPr>
              <w:widowControl/>
              <w:spacing w:line="288" w:lineRule="auto"/>
              <w:jc w:val="center"/>
              <w:rPr>
                <w:rFonts w:hint="eastAsia" w:ascii="仿宋" w:hAnsi="仿宋" w:eastAsia="仿宋" w:cs="仿宋"/>
                <w:bCs/>
              </w:rPr>
            </w:pPr>
          </w:p>
        </w:tc>
        <w:tc>
          <w:tcPr>
            <w:tcW w:w="499" w:type="pct"/>
          </w:tcPr>
          <w:p>
            <w:pPr>
              <w:widowControl/>
              <w:spacing w:line="288" w:lineRule="auto"/>
              <w:jc w:val="center"/>
              <w:textAlignment w:val="top"/>
              <w:rPr>
                <w:rFonts w:hint="eastAsia" w:ascii="仿宋" w:hAnsi="仿宋" w:eastAsia="仿宋" w:cs="仿宋"/>
                <w:bCs/>
              </w:rPr>
            </w:pPr>
          </w:p>
        </w:tc>
        <w:tc>
          <w:tcPr>
            <w:tcW w:w="552" w:type="pct"/>
          </w:tcPr>
          <w:p>
            <w:pPr>
              <w:spacing w:line="288" w:lineRule="auto"/>
              <w:jc w:val="center"/>
              <w:rPr>
                <w:rFonts w:hint="eastAsia" w:ascii="仿宋" w:hAnsi="仿宋" w:eastAsia="仿宋" w:cs="仿宋"/>
                <w:bCs/>
              </w:rPr>
            </w:pPr>
          </w:p>
        </w:tc>
        <w:tc>
          <w:tcPr>
            <w:tcW w:w="552" w:type="pct"/>
          </w:tcPr>
          <w:p>
            <w:pPr>
              <w:spacing w:line="288" w:lineRule="auto"/>
              <w:jc w:val="center"/>
              <w:rPr>
                <w:rFonts w:hint="eastAsia" w:ascii="仿宋" w:hAnsi="仿宋" w:eastAsia="仿宋" w:cs="仿宋"/>
                <w:bCs/>
              </w:rPr>
            </w:pPr>
          </w:p>
        </w:tc>
        <w:tc>
          <w:tcPr>
            <w:tcW w:w="552" w:type="pct"/>
          </w:tcPr>
          <w:p>
            <w:pPr>
              <w:spacing w:line="288" w:lineRule="auto"/>
              <w:jc w:val="center"/>
              <w:rPr>
                <w:rFonts w:hint="eastAsia" w:ascii="仿宋" w:hAnsi="仿宋" w:eastAsia="仿宋" w:cs="仿宋"/>
                <w:bCs/>
              </w:rPr>
            </w:pPr>
          </w:p>
        </w:tc>
        <w:tc>
          <w:tcPr>
            <w:tcW w:w="533" w:type="pct"/>
          </w:tcPr>
          <w:p>
            <w:pPr>
              <w:spacing w:line="288" w:lineRule="auto"/>
              <w:jc w:val="center"/>
              <w:rPr>
                <w:rFonts w:hint="eastAsia" w:ascii="仿宋" w:hAnsi="仿宋" w:eastAsia="仿宋" w:cs="仿宋"/>
                <w:bCs/>
              </w:rPr>
            </w:pPr>
          </w:p>
        </w:tc>
        <w:tc>
          <w:tcPr>
            <w:tcW w:w="503" w:type="pct"/>
            <w:vMerge w:val="continue"/>
          </w:tcPr>
          <w:p>
            <w:pPr>
              <w:spacing w:line="288" w:lineRule="auto"/>
              <w:jc w:val="center"/>
              <w:rPr>
                <w:rFonts w:hint="eastAsia" w:ascii="仿宋" w:hAnsi="仿宋" w:eastAsia="仿宋" w:cs="仿宋"/>
                <w:bCs/>
              </w:rPr>
            </w:pPr>
          </w:p>
        </w:tc>
        <w:tc>
          <w:tcPr>
            <w:tcW w:w="359" w:type="pct"/>
          </w:tcPr>
          <w:p>
            <w:pPr>
              <w:widowControl/>
              <w:spacing w:line="288"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08" w:type="pct"/>
            <w:vAlign w:val="center"/>
          </w:tcPr>
          <w:p>
            <w:pPr>
              <w:widowControl/>
              <w:spacing w:line="288" w:lineRule="auto"/>
              <w:jc w:val="center"/>
              <w:textAlignment w:val="center"/>
              <w:rPr>
                <w:rFonts w:hint="eastAsia" w:ascii="仿宋" w:hAnsi="仿宋" w:eastAsia="仿宋" w:cs="仿宋"/>
              </w:rPr>
            </w:pPr>
          </w:p>
        </w:tc>
        <w:tc>
          <w:tcPr>
            <w:tcW w:w="348" w:type="pct"/>
            <w:vAlign w:val="center"/>
          </w:tcPr>
          <w:p>
            <w:pPr>
              <w:spacing w:line="288" w:lineRule="auto"/>
              <w:jc w:val="center"/>
              <w:rPr>
                <w:rFonts w:hint="eastAsia" w:ascii="仿宋" w:hAnsi="仿宋" w:eastAsia="仿宋" w:cs="仿宋"/>
              </w:rPr>
            </w:pPr>
          </w:p>
        </w:tc>
        <w:tc>
          <w:tcPr>
            <w:tcW w:w="424" w:type="pct"/>
            <w:vAlign w:val="center"/>
          </w:tcPr>
          <w:p>
            <w:pPr>
              <w:spacing w:line="288" w:lineRule="auto"/>
              <w:jc w:val="center"/>
              <w:rPr>
                <w:rFonts w:hint="eastAsia" w:ascii="仿宋" w:hAnsi="仿宋" w:eastAsia="仿宋" w:cs="仿宋"/>
              </w:rPr>
            </w:pPr>
          </w:p>
        </w:tc>
        <w:tc>
          <w:tcPr>
            <w:tcW w:w="466" w:type="pct"/>
          </w:tcPr>
          <w:p>
            <w:pPr>
              <w:widowControl/>
              <w:spacing w:line="288" w:lineRule="auto"/>
              <w:jc w:val="center"/>
              <w:rPr>
                <w:rFonts w:hint="eastAsia" w:ascii="仿宋" w:hAnsi="仿宋" w:eastAsia="仿宋" w:cs="仿宋"/>
                <w:bCs/>
              </w:rPr>
            </w:pPr>
          </w:p>
        </w:tc>
        <w:tc>
          <w:tcPr>
            <w:tcW w:w="499" w:type="pct"/>
          </w:tcPr>
          <w:p>
            <w:pPr>
              <w:widowControl/>
              <w:spacing w:line="288" w:lineRule="auto"/>
              <w:jc w:val="center"/>
              <w:textAlignment w:val="top"/>
              <w:rPr>
                <w:rFonts w:hint="eastAsia" w:ascii="仿宋" w:hAnsi="仿宋" w:eastAsia="仿宋" w:cs="仿宋"/>
                <w:bCs/>
              </w:rPr>
            </w:pPr>
          </w:p>
        </w:tc>
        <w:tc>
          <w:tcPr>
            <w:tcW w:w="552" w:type="pct"/>
          </w:tcPr>
          <w:p>
            <w:pPr>
              <w:spacing w:line="288" w:lineRule="auto"/>
              <w:jc w:val="center"/>
              <w:rPr>
                <w:rFonts w:hint="eastAsia" w:ascii="仿宋" w:hAnsi="仿宋" w:eastAsia="仿宋" w:cs="仿宋"/>
                <w:bCs/>
              </w:rPr>
            </w:pPr>
          </w:p>
        </w:tc>
        <w:tc>
          <w:tcPr>
            <w:tcW w:w="552" w:type="pct"/>
          </w:tcPr>
          <w:p>
            <w:pPr>
              <w:spacing w:line="288" w:lineRule="auto"/>
              <w:jc w:val="center"/>
              <w:rPr>
                <w:rFonts w:hint="eastAsia" w:ascii="仿宋" w:hAnsi="仿宋" w:eastAsia="仿宋" w:cs="仿宋"/>
                <w:bCs/>
              </w:rPr>
            </w:pPr>
          </w:p>
        </w:tc>
        <w:tc>
          <w:tcPr>
            <w:tcW w:w="552" w:type="pct"/>
          </w:tcPr>
          <w:p>
            <w:pPr>
              <w:spacing w:line="288" w:lineRule="auto"/>
              <w:jc w:val="center"/>
              <w:rPr>
                <w:rFonts w:hint="eastAsia" w:ascii="仿宋" w:hAnsi="仿宋" w:eastAsia="仿宋" w:cs="仿宋"/>
                <w:bCs/>
              </w:rPr>
            </w:pPr>
          </w:p>
        </w:tc>
        <w:tc>
          <w:tcPr>
            <w:tcW w:w="533" w:type="pct"/>
          </w:tcPr>
          <w:p>
            <w:pPr>
              <w:spacing w:line="288" w:lineRule="auto"/>
              <w:jc w:val="center"/>
              <w:rPr>
                <w:rFonts w:hint="eastAsia" w:ascii="仿宋" w:hAnsi="仿宋" w:eastAsia="仿宋" w:cs="仿宋"/>
                <w:bCs/>
              </w:rPr>
            </w:pPr>
          </w:p>
        </w:tc>
        <w:tc>
          <w:tcPr>
            <w:tcW w:w="503" w:type="pct"/>
            <w:vMerge w:val="continue"/>
          </w:tcPr>
          <w:p>
            <w:pPr>
              <w:spacing w:line="288" w:lineRule="auto"/>
              <w:jc w:val="center"/>
              <w:rPr>
                <w:rFonts w:hint="eastAsia" w:ascii="仿宋" w:hAnsi="仿宋" w:eastAsia="仿宋" w:cs="仿宋"/>
                <w:bCs/>
              </w:rPr>
            </w:pPr>
          </w:p>
        </w:tc>
        <w:tc>
          <w:tcPr>
            <w:tcW w:w="359" w:type="pct"/>
          </w:tcPr>
          <w:p>
            <w:pPr>
              <w:widowControl/>
              <w:spacing w:line="288" w:lineRule="auto"/>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08" w:type="pct"/>
            <w:vAlign w:val="center"/>
          </w:tcPr>
          <w:p>
            <w:pPr>
              <w:widowControl/>
              <w:spacing w:line="288" w:lineRule="auto"/>
              <w:jc w:val="center"/>
              <w:textAlignment w:val="center"/>
              <w:rPr>
                <w:rFonts w:hint="eastAsia" w:ascii="仿宋" w:hAnsi="仿宋" w:eastAsia="仿宋" w:cs="仿宋"/>
              </w:rPr>
            </w:pPr>
          </w:p>
        </w:tc>
        <w:tc>
          <w:tcPr>
            <w:tcW w:w="348" w:type="pct"/>
            <w:vAlign w:val="center"/>
          </w:tcPr>
          <w:p>
            <w:pPr>
              <w:spacing w:line="288" w:lineRule="auto"/>
              <w:jc w:val="center"/>
              <w:rPr>
                <w:rFonts w:hint="eastAsia" w:ascii="仿宋" w:hAnsi="仿宋" w:eastAsia="仿宋" w:cs="仿宋"/>
              </w:rPr>
            </w:pPr>
          </w:p>
        </w:tc>
        <w:tc>
          <w:tcPr>
            <w:tcW w:w="424" w:type="pct"/>
            <w:vAlign w:val="center"/>
          </w:tcPr>
          <w:p>
            <w:pPr>
              <w:spacing w:line="288" w:lineRule="auto"/>
              <w:jc w:val="center"/>
              <w:rPr>
                <w:rFonts w:hint="eastAsia" w:ascii="仿宋" w:hAnsi="仿宋" w:eastAsia="仿宋" w:cs="仿宋"/>
              </w:rPr>
            </w:pPr>
          </w:p>
        </w:tc>
        <w:tc>
          <w:tcPr>
            <w:tcW w:w="466" w:type="pct"/>
          </w:tcPr>
          <w:p>
            <w:pPr>
              <w:widowControl/>
              <w:spacing w:line="288" w:lineRule="auto"/>
              <w:jc w:val="center"/>
              <w:rPr>
                <w:rFonts w:hint="eastAsia" w:ascii="仿宋" w:hAnsi="仿宋" w:eastAsia="仿宋" w:cs="仿宋"/>
                <w:bCs/>
              </w:rPr>
            </w:pPr>
          </w:p>
        </w:tc>
        <w:tc>
          <w:tcPr>
            <w:tcW w:w="499" w:type="pct"/>
          </w:tcPr>
          <w:p>
            <w:pPr>
              <w:widowControl/>
              <w:spacing w:line="288" w:lineRule="auto"/>
              <w:jc w:val="center"/>
              <w:textAlignment w:val="top"/>
              <w:rPr>
                <w:rFonts w:hint="eastAsia" w:ascii="仿宋" w:hAnsi="仿宋" w:eastAsia="仿宋" w:cs="仿宋"/>
                <w:bCs/>
              </w:rPr>
            </w:pPr>
          </w:p>
        </w:tc>
        <w:tc>
          <w:tcPr>
            <w:tcW w:w="552" w:type="pct"/>
          </w:tcPr>
          <w:p>
            <w:pPr>
              <w:spacing w:line="288" w:lineRule="auto"/>
              <w:jc w:val="center"/>
              <w:rPr>
                <w:rFonts w:hint="eastAsia" w:ascii="仿宋" w:hAnsi="仿宋" w:eastAsia="仿宋" w:cs="仿宋"/>
                <w:bCs/>
              </w:rPr>
            </w:pPr>
          </w:p>
        </w:tc>
        <w:tc>
          <w:tcPr>
            <w:tcW w:w="552" w:type="pct"/>
          </w:tcPr>
          <w:p>
            <w:pPr>
              <w:spacing w:line="288" w:lineRule="auto"/>
              <w:jc w:val="center"/>
              <w:rPr>
                <w:rFonts w:hint="eastAsia" w:ascii="仿宋" w:hAnsi="仿宋" w:eastAsia="仿宋" w:cs="仿宋"/>
                <w:bCs/>
              </w:rPr>
            </w:pPr>
          </w:p>
        </w:tc>
        <w:tc>
          <w:tcPr>
            <w:tcW w:w="552" w:type="pct"/>
          </w:tcPr>
          <w:p>
            <w:pPr>
              <w:spacing w:line="288" w:lineRule="auto"/>
              <w:jc w:val="center"/>
              <w:rPr>
                <w:rFonts w:hint="eastAsia" w:ascii="仿宋" w:hAnsi="仿宋" w:eastAsia="仿宋" w:cs="仿宋"/>
                <w:bCs/>
              </w:rPr>
            </w:pPr>
          </w:p>
        </w:tc>
        <w:tc>
          <w:tcPr>
            <w:tcW w:w="533" w:type="pct"/>
          </w:tcPr>
          <w:p>
            <w:pPr>
              <w:spacing w:line="288" w:lineRule="auto"/>
              <w:jc w:val="center"/>
              <w:rPr>
                <w:rFonts w:hint="eastAsia" w:ascii="仿宋" w:hAnsi="仿宋" w:eastAsia="仿宋" w:cs="仿宋"/>
                <w:bCs/>
              </w:rPr>
            </w:pPr>
          </w:p>
        </w:tc>
        <w:tc>
          <w:tcPr>
            <w:tcW w:w="503" w:type="pct"/>
            <w:vMerge w:val="continue"/>
          </w:tcPr>
          <w:p>
            <w:pPr>
              <w:spacing w:line="288" w:lineRule="auto"/>
              <w:jc w:val="center"/>
              <w:rPr>
                <w:rFonts w:hint="eastAsia" w:ascii="仿宋" w:hAnsi="仿宋" w:eastAsia="仿宋" w:cs="仿宋"/>
                <w:bCs/>
              </w:rPr>
            </w:pPr>
          </w:p>
        </w:tc>
        <w:tc>
          <w:tcPr>
            <w:tcW w:w="359" w:type="pct"/>
          </w:tcPr>
          <w:p>
            <w:pPr>
              <w:widowControl/>
              <w:spacing w:line="288" w:lineRule="auto"/>
              <w:jc w:val="center"/>
              <w:rPr>
                <w:rFonts w:hint="eastAsia" w:ascii="仿宋" w:hAnsi="仿宋" w:eastAsia="仿宋" w:cs="仿宋"/>
              </w:rPr>
            </w:pPr>
          </w:p>
        </w:tc>
      </w:tr>
    </w:tbl>
    <w:p>
      <w:pPr>
        <w:rPr>
          <w:rFonts w:hint="eastAsia" w:ascii="仿宋" w:hAnsi="仿宋" w:eastAsia="仿宋" w:cs="仿宋"/>
        </w:rPr>
      </w:pPr>
      <w:r>
        <w:rPr>
          <w:rFonts w:hint="eastAsia" w:ascii="仿宋" w:hAnsi="仿宋" w:eastAsia="仿宋" w:cs="仿宋"/>
        </w:rPr>
        <w:br w:type="page"/>
      </w:r>
    </w:p>
    <w:p>
      <w:pPr>
        <w:widowControl/>
        <w:spacing w:before="60" w:after="60" w:line="288" w:lineRule="auto"/>
        <w:outlineLvl w:val="1"/>
        <w:rPr>
          <w:rFonts w:hint="eastAsia" w:ascii="仿宋" w:hAnsi="仿宋" w:eastAsia="仿宋" w:cs="仿宋"/>
          <w:b/>
          <w:bCs/>
          <w:sz w:val="28"/>
          <w:szCs w:val="28"/>
        </w:rPr>
      </w:pPr>
      <w:r>
        <w:rPr>
          <w:rFonts w:hint="eastAsia" w:ascii="仿宋" w:hAnsi="仿宋" w:eastAsia="仿宋" w:cs="仿宋"/>
          <w:b/>
          <w:bCs/>
          <w:sz w:val="28"/>
          <w:szCs w:val="28"/>
        </w:rPr>
        <w:t>附件二：其余评分标准对应内容</w:t>
      </w:r>
    </w:p>
    <w:p>
      <w:pPr>
        <w:widowControl/>
        <w:spacing w:before="60" w:after="60" w:line="288" w:lineRule="auto"/>
        <w:jc w:val="center"/>
        <w:outlineLvl w:val="2"/>
        <w:rPr>
          <w:rFonts w:hint="eastAsia" w:ascii="仿宋" w:hAnsi="仿宋" w:eastAsia="仿宋" w:cs="仿宋"/>
          <w:b/>
          <w:sz w:val="28"/>
          <w:szCs w:val="30"/>
        </w:rPr>
      </w:pPr>
      <w:r>
        <w:rPr>
          <w:rFonts w:hint="eastAsia" w:ascii="仿宋" w:hAnsi="仿宋" w:eastAsia="仿宋" w:cs="仿宋"/>
          <w:b/>
          <w:sz w:val="28"/>
          <w:szCs w:val="30"/>
        </w:rPr>
        <w:t>例：</w:t>
      </w:r>
      <w:r>
        <w:rPr>
          <w:rFonts w:hint="eastAsia" w:ascii="仿宋" w:hAnsi="仿宋" w:eastAsia="仿宋" w:cs="仿宋"/>
          <w:b/>
          <w:sz w:val="28"/>
          <w:szCs w:val="30"/>
          <w:highlight w:val="yellow"/>
        </w:rPr>
        <w:t>**分包</w:t>
      </w:r>
      <w:r>
        <w:rPr>
          <w:rFonts w:hint="eastAsia" w:ascii="仿宋" w:hAnsi="仿宋" w:eastAsia="仿宋" w:cs="仿宋"/>
          <w:b/>
          <w:sz w:val="28"/>
          <w:szCs w:val="30"/>
        </w:rPr>
        <w:t>履约能力</w:t>
      </w:r>
    </w:p>
    <w:p>
      <w:pPr>
        <w:widowControl/>
        <w:spacing w:before="60" w:after="60" w:line="288" w:lineRule="auto"/>
        <w:jc w:val="center"/>
        <w:outlineLvl w:val="2"/>
        <w:rPr>
          <w:rFonts w:hint="eastAsia" w:ascii="仿宋" w:hAnsi="仿宋" w:eastAsia="仿宋" w:cs="仿宋"/>
          <w:b/>
          <w:sz w:val="28"/>
          <w:szCs w:val="30"/>
        </w:rPr>
      </w:pPr>
      <w:r>
        <w:rPr>
          <w:rFonts w:hint="eastAsia" w:ascii="仿宋" w:hAnsi="仿宋" w:eastAsia="仿宋" w:cs="仿宋"/>
          <w:b/>
          <w:sz w:val="28"/>
          <w:szCs w:val="30"/>
          <w:highlight w:val="yellow"/>
        </w:rPr>
        <w:t>**分包</w:t>
      </w:r>
      <w:r>
        <w:rPr>
          <w:rFonts w:hint="eastAsia" w:ascii="仿宋" w:hAnsi="仿宋" w:eastAsia="仿宋" w:cs="仿宋"/>
          <w:b/>
          <w:sz w:val="28"/>
          <w:szCs w:val="30"/>
        </w:rPr>
        <w:t>业绩</w:t>
      </w:r>
    </w:p>
    <w:p>
      <w:pPr>
        <w:widowControl/>
        <w:spacing w:before="60" w:after="60" w:line="288" w:lineRule="auto"/>
        <w:jc w:val="center"/>
        <w:outlineLvl w:val="2"/>
        <w:rPr>
          <w:rFonts w:hint="eastAsia" w:ascii="仿宋" w:hAnsi="仿宋" w:eastAsia="仿宋" w:cs="仿宋"/>
          <w:b/>
          <w:sz w:val="28"/>
          <w:szCs w:val="30"/>
        </w:rPr>
      </w:pPr>
      <w:r>
        <w:rPr>
          <w:rFonts w:hint="eastAsia" w:ascii="仿宋" w:hAnsi="仿宋" w:eastAsia="仿宋" w:cs="仿宋"/>
          <w:b/>
          <w:sz w:val="28"/>
          <w:szCs w:val="30"/>
          <w:highlight w:val="yellow"/>
        </w:rPr>
        <w:t>**分包</w:t>
      </w:r>
      <w:r>
        <w:rPr>
          <w:rFonts w:hint="eastAsia" w:ascii="仿宋" w:hAnsi="仿宋" w:eastAsia="仿宋" w:cs="仿宋"/>
          <w:b/>
          <w:sz w:val="28"/>
          <w:szCs w:val="30"/>
        </w:rPr>
        <w:t>品牌优势</w:t>
      </w:r>
    </w:p>
    <w:p>
      <w:pPr>
        <w:jc w:val="center"/>
        <w:rPr>
          <w:rFonts w:hint="eastAsia" w:ascii="仿宋" w:hAnsi="仿宋" w:eastAsia="仿宋" w:cs="仿宋"/>
          <w:color w:val="FF0000"/>
          <w:sz w:val="28"/>
          <w:szCs w:val="28"/>
        </w:rPr>
      </w:pPr>
      <w:r>
        <w:rPr>
          <w:rFonts w:hint="eastAsia" w:ascii="仿宋" w:hAnsi="仿宋" w:eastAsia="仿宋" w:cs="仿宋"/>
          <w:color w:val="FF0000"/>
          <w:sz w:val="28"/>
          <w:szCs w:val="28"/>
        </w:rPr>
        <w:t>（各分包需分别提供）</w:t>
      </w:r>
    </w:p>
    <w:p>
      <w:pPr>
        <w:rPr>
          <w:rFonts w:hint="eastAsia" w:ascii="仿宋" w:hAnsi="仿宋" w:eastAsia="仿宋" w:cs="仿宋"/>
          <w:b/>
          <w:bCs/>
        </w:rPr>
      </w:pPr>
    </w:p>
    <w:sectPr>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0" distR="0" simplePos="0" relativeHeight="251659264" behindDoc="0" locked="0" layoutInCell="1" allowOverlap="1">
          <wp:simplePos x="0" y="0"/>
          <wp:positionH relativeFrom="column">
            <wp:posOffset>748030</wp:posOffset>
          </wp:positionH>
          <wp:positionV relativeFrom="page">
            <wp:posOffset>556260</wp:posOffset>
          </wp:positionV>
          <wp:extent cx="455930" cy="257810"/>
          <wp:effectExtent l="0" t="0" r="1270" b="8890"/>
          <wp:wrapSquare wrapText="bothSides"/>
          <wp:docPr id="21" name="IM 1"/>
          <wp:cNvGraphicFramePr/>
          <a:graphic xmlns:a="http://schemas.openxmlformats.org/drawingml/2006/main">
            <a:graphicData uri="http://schemas.openxmlformats.org/drawingml/2006/picture">
              <pic:pic xmlns:pic="http://schemas.openxmlformats.org/drawingml/2006/picture">
                <pic:nvPicPr>
                  <pic:cNvPr id="21" name="IM 1"/>
                  <pic:cNvPicPr/>
                </pic:nvPicPr>
                <pic:blipFill>
                  <a:blip r:embed="rId1"/>
                  <a:stretch>
                    <a:fillRect/>
                  </a:stretch>
                </pic:blipFill>
                <pic:spPr>
                  <a:xfrm>
                    <a:off x="0" y="0"/>
                    <a:ext cx="455930" cy="257810"/>
                  </a:xfrm>
                  <a:prstGeom prst="rect">
                    <a:avLst/>
                  </a:prstGeom>
                </pic:spPr>
              </pic:pic>
            </a:graphicData>
          </a:graphic>
        </wp:anchor>
      </w:drawing>
    </w:r>
    <w:r>
      <w:rPr>
        <w:rFonts w:hint="eastAsia" w:ascii="仿宋" w:hAnsi="仿宋" w:eastAsia="仿宋" w:cs="仿宋"/>
        <w:b/>
        <w:bCs/>
        <w:color w:val="005DAD"/>
        <w:sz w:val="24"/>
        <w:szCs w:val="24"/>
        <w14:shadow w14:blurRad="139700" w14:dist="63500" w14:dir="18900000" w14:sx="0" w14:sy="0" w14:kx="0" w14:ky="0" w14:algn="none">
          <w14:srgbClr w14:val="46758E">
            <w14:alpha w14:val="32000"/>
          </w14:srgbClr>
        </w14:shadow>
        <w14:reflection w14:blurRad="88900" w14:stA="52000" w14:stPos="0" w14:endA="300" w14:endPos="45500" w14:dist="53340" w14:dir="5400000" w14:fadeDir="5400000" w14:sx="100000" w14:sy="-100000" w14:kx="0" w14:ky="0" w14:algn="bl"/>
      </w:rPr>
      <w:t>南 京 众 智 工 程 咨 询 有 限 公 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BCE894"/>
    <w:multiLevelType w:val="singleLevel"/>
    <w:tmpl w:val="A0BCE894"/>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xNTBkMzk0MjJkZTkzZDM5MGNhNWEyMTY5Y2Q1MjEifQ=="/>
    <w:docVar w:name="KSO_WPS_MARK_KEY" w:val="d7e17f6f-7a44-4695-a4f5-15d42e96dd5e"/>
  </w:docVars>
  <w:rsids>
    <w:rsidRoot w:val="79234DD3"/>
    <w:rsid w:val="000C25ED"/>
    <w:rsid w:val="001A6DFD"/>
    <w:rsid w:val="001E08C5"/>
    <w:rsid w:val="001E4F8E"/>
    <w:rsid w:val="0023550C"/>
    <w:rsid w:val="0032286A"/>
    <w:rsid w:val="003845C2"/>
    <w:rsid w:val="004218DE"/>
    <w:rsid w:val="004C77B9"/>
    <w:rsid w:val="00541C15"/>
    <w:rsid w:val="00591EE1"/>
    <w:rsid w:val="0065540F"/>
    <w:rsid w:val="006A6838"/>
    <w:rsid w:val="006C3E71"/>
    <w:rsid w:val="00850F80"/>
    <w:rsid w:val="00912336"/>
    <w:rsid w:val="00985383"/>
    <w:rsid w:val="009F04E1"/>
    <w:rsid w:val="00AA31FE"/>
    <w:rsid w:val="00AB6E8A"/>
    <w:rsid w:val="00C620B3"/>
    <w:rsid w:val="00D417D1"/>
    <w:rsid w:val="00E83D35"/>
    <w:rsid w:val="00FF423B"/>
    <w:rsid w:val="046F4A4B"/>
    <w:rsid w:val="08C66F99"/>
    <w:rsid w:val="0AFF0AE8"/>
    <w:rsid w:val="0B8B6D9A"/>
    <w:rsid w:val="110B78F6"/>
    <w:rsid w:val="120D3204"/>
    <w:rsid w:val="193D7348"/>
    <w:rsid w:val="198364E9"/>
    <w:rsid w:val="220F2BA0"/>
    <w:rsid w:val="371D6565"/>
    <w:rsid w:val="37CA35F2"/>
    <w:rsid w:val="384058D0"/>
    <w:rsid w:val="398048E2"/>
    <w:rsid w:val="3A05508E"/>
    <w:rsid w:val="3B742225"/>
    <w:rsid w:val="3CCA0D96"/>
    <w:rsid w:val="40D4576A"/>
    <w:rsid w:val="44494348"/>
    <w:rsid w:val="45661C17"/>
    <w:rsid w:val="46A61F18"/>
    <w:rsid w:val="4920418C"/>
    <w:rsid w:val="4C324456"/>
    <w:rsid w:val="4C6A25EE"/>
    <w:rsid w:val="4E795BC8"/>
    <w:rsid w:val="4F401EA3"/>
    <w:rsid w:val="533B3305"/>
    <w:rsid w:val="55C1100D"/>
    <w:rsid w:val="56AF0649"/>
    <w:rsid w:val="5AB70D15"/>
    <w:rsid w:val="62456545"/>
    <w:rsid w:val="660404C6"/>
    <w:rsid w:val="695E2641"/>
    <w:rsid w:val="6A8F6861"/>
    <w:rsid w:val="6FB0083E"/>
    <w:rsid w:val="6FF74C9B"/>
    <w:rsid w:val="79234DD3"/>
    <w:rsid w:val="7F8B7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1"/>
      <w:lang w:val="en-US" w:eastAsia="zh-CN" w:bidi="ar-SA"/>
    </w:rPr>
  </w:style>
  <w:style w:type="paragraph" w:styleId="2">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0"/>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1"/>
    <w:unhideWhenUsed/>
    <w:qFormat/>
    <w:uiPriority w:val="0"/>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8"/>
    <w:qFormat/>
    <w:uiPriority w:val="0"/>
    <w:pPr>
      <w:tabs>
        <w:tab w:val="center" w:pos="4153"/>
        <w:tab w:val="right" w:pos="8306"/>
      </w:tabs>
      <w:snapToGrid w:val="0"/>
      <w:jc w:val="left"/>
    </w:pPr>
    <w:rPr>
      <w:sz w:val="18"/>
      <w:szCs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正文首行缩进 211"/>
    <w:basedOn w:val="11"/>
    <w:next w:val="1"/>
    <w:qFormat/>
    <w:uiPriority w:val="0"/>
    <w:pPr>
      <w:spacing w:after="0" w:line="360" w:lineRule="auto"/>
      <w:ind w:left="0" w:firstLine="420"/>
    </w:pPr>
    <w:rPr>
      <w:rFonts w:ascii="宋体" w:hAnsi="宋体"/>
      <w:szCs w:val="20"/>
    </w:rPr>
  </w:style>
  <w:style w:type="paragraph" w:customStyle="1" w:styleId="11">
    <w:name w:val="正文文本缩进11"/>
    <w:basedOn w:val="1"/>
    <w:next w:val="12"/>
    <w:unhideWhenUsed/>
    <w:qFormat/>
    <w:uiPriority w:val="0"/>
    <w:pPr>
      <w:spacing w:after="120"/>
      <w:ind w:left="420"/>
    </w:pPr>
  </w:style>
  <w:style w:type="paragraph" w:customStyle="1" w:styleId="12">
    <w:name w:val="寄信人地址1"/>
    <w:basedOn w:val="1"/>
    <w:qFormat/>
    <w:uiPriority w:val="0"/>
    <w:rPr>
      <w:rFonts w:ascii="Arial" w:hAnsi="Arial" w:cs="宋体"/>
    </w:rPr>
  </w:style>
  <w:style w:type="paragraph" w:customStyle="1" w:styleId="13">
    <w:name w:val="标题 312"/>
    <w:basedOn w:val="1"/>
    <w:next w:val="14"/>
    <w:unhideWhenUsed/>
    <w:qFormat/>
    <w:uiPriority w:val="9"/>
    <w:pPr>
      <w:keepNext/>
      <w:keepLines/>
      <w:spacing w:before="320" w:after="200"/>
      <w:outlineLvl w:val="2"/>
    </w:pPr>
    <w:rPr>
      <w:rFonts w:ascii="Arial" w:hAnsi="Arial" w:eastAsia="Arial" w:cs="Arial"/>
      <w:sz w:val="30"/>
      <w:szCs w:val="30"/>
    </w:rPr>
  </w:style>
  <w:style w:type="paragraph" w:customStyle="1" w:styleId="14">
    <w:name w:val="正文缩进12"/>
    <w:basedOn w:val="1"/>
    <w:qFormat/>
    <w:uiPriority w:val="0"/>
    <w:pPr>
      <w:ind w:firstLine="420"/>
    </w:pPr>
  </w:style>
  <w:style w:type="character" w:customStyle="1" w:styleId="15">
    <w:name w:val="已访问的超链接11"/>
    <w:qFormat/>
    <w:uiPriority w:val="0"/>
    <w:rPr>
      <w:rFonts w:hint="default" w:ascii="Times New Roman" w:hAnsi="Times New Roman" w:eastAsia="宋体" w:cs="Times New Roman"/>
      <w:sz w:val="21"/>
      <w:szCs w:val="21"/>
      <w:lang w:val="en-US" w:eastAsia="zh-CN" w:bidi="ar-SA"/>
    </w:rPr>
  </w:style>
  <w:style w:type="paragraph" w:customStyle="1" w:styleId="16">
    <w:name w:val="索引 41"/>
    <w:basedOn w:val="1"/>
    <w:next w:val="1"/>
    <w:semiHidden/>
    <w:qFormat/>
    <w:uiPriority w:val="0"/>
    <w:pPr>
      <w:ind w:left="1260"/>
    </w:pPr>
    <w:rPr>
      <w:rFonts w:ascii="Calibri" w:hAnsi="Calibri" w:eastAsia="Calibri" w:cs="宋体"/>
      <w:sz w:val="20"/>
      <w:lang w:val="zh-CN"/>
    </w:rPr>
  </w:style>
  <w:style w:type="character" w:customStyle="1" w:styleId="17">
    <w:name w:val="页眉 字符"/>
    <w:basedOn w:val="9"/>
    <w:link w:val="6"/>
    <w:qFormat/>
    <w:uiPriority w:val="0"/>
    <w:rPr>
      <w:sz w:val="18"/>
      <w:szCs w:val="18"/>
    </w:rPr>
  </w:style>
  <w:style w:type="character" w:customStyle="1" w:styleId="18">
    <w:name w:val="页脚 字符"/>
    <w:basedOn w:val="9"/>
    <w:link w:val="5"/>
    <w:qFormat/>
    <w:uiPriority w:val="0"/>
    <w:rPr>
      <w:sz w:val="18"/>
      <w:szCs w:val="18"/>
    </w:rPr>
  </w:style>
  <w:style w:type="character" w:customStyle="1" w:styleId="19">
    <w:name w:val="标题 1 字符"/>
    <w:basedOn w:val="9"/>
    <w:link w:val="2"/>
    <w:qFormat/>
    <w:uiPriority w:val="0"/>
    <w:rPr>
      <w:b/>
      <w:bCs/>
      <w:kern w:val="44"/>
      <w:sz w:val="44"/>
      <w:szCs w:val="44"/>
    </w:rPr>
  </w:style>
  <w:style w:type="character" w:customStyle="1" w:styleId="20">
    <w:name w:val="标题 2 字符"/>
    <w:basedOn w:val="9"/>
    <w:link w:val="3"/>
    <w:qFormat/>
    <w:uiPriority w:val="0"/>
    <w:rPr>
      <w:rFonts w:asciiTheme="majorHAnsi" w:hAnsiTheme="majorHAnsi" w:eastAsiaTheme="majorEastAsia" w:cstheme="majorBidi"/>
      <w:b/>
      <w:bCs/>
      <w:sz w:val="32"/>
      <w:szCs w:val="32"/>
    </w:rPr>
  </w:style>
  <w:style w:type="character" w:customStyle="1" w:styleId="21">
    <w:name w:val="标题 3 字符"/>
    <w:basedOn w:val="9"/>
    <w:link w:val="4"/>
    <w:qFormat/>
    <w:uiPriority w:val="0"/>
    <w:rPr>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3723</Words>
  <Characters>3980</Characters>
  <Lines>30</Lines>
  <Paragraphs>8</Paragraphs>
  <TotalTime>5</TotalTime>
  <ScaleCrop>false</ScaleCrop>
  <LinksUpToDate>false</LinksUpToDate>
  <CharactersWithSpaces>4002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2024-12-23T06:43:00Z</dcterms:created>
  <dc:creator></dc:creator>
  <cp:lastModifiedBy>南京众智工程咨询有限公司</cp:lastModifiedBy>
  <cp:lastPrinted>2024-12-28T08:45:00Z</cp:lastPrinted>
  <dcterms:modified xsi:type="dcterms:W3CDTF">2025-01-03T10:30:40Z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1508916D4AC84CE2AAC1F05659BD9F4E</vt:lpwstr>
  </property>
  <property fmtid="{D5CDD505-2E9C-101B-9397-08002B2CF9AE}" pid="4" name="KSOTemplateDocerSaveRecord">
    <vt:lpwstr>eyJoZGlkIjoiMjU2NzlkMTBmYjExZWE3Y2ViNTg5MTBmYjgyZmRmZTUiLCJ1c2VySWQiOiIxNDM0OTk3Mzk0In0=</vt:lpwstr>
  </property>
</Properties>
</file>