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00" w:lineRule="exact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3</w:t>
      </w:r>
    </w:p>
    <w:p>
      <w:pPr>
        <w:widowControl/>
        <w:overflowPunct w:val="0"/>
        <w:adjustRightInd w:val="0"/>
        <w:snapToGrid w:val="0"/>
        <w:spacing w:before="120" w:after="240" w:line="640" w:lineRule="exact"/>
        <w:jc w:val="center"/>
        <w:textAlignment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南京市第七届中小学教师</w:t>
      </w:r>
      <w:bookmarkStart w:id="0" w:name="_GoBack"/>
      <w:r>
        <w:rPr>
          <w:rFonts w:hint="eastAsia" w:ascii="方正大标宋简体" w:eastAsia="方正大标宋简体"/>
          <w:sz w:val="44"/>
          <w:szCs w:val="44"/>
        </w:rPr>
        <w:t>微课竞赛评分规则</w:t>
      </w:r>
    </w:p>
    <w:bookmarkEnd w:id="0"/>
    <w:tbl>
      <w:tblPr>
        <w:tblStyle w:val="3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621"/>
        <w:gridCol w:w="6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bCs/>
                <w:kern w:val="0"/>
                <w:sz w:val="32"/>
                <w:szCs w:val="32"/>
              </w:rPr>
              <w:t>一级</w:t>
            </w:r>
          </w:p>
          <w:p>
            <w:pPr>
              <w:spacing w:line="280" w:lineRule="exact"/>
              <w:jc w:val="center"/>
              <w:textAlignment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bCs/>
                <w:kern w:val="0"/>
                <w:sz w:val="32"/>
                <w:szCs w:val="32"/>
              </w:rPr>
              <w:t>指标</w:t>
            </w: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bCs/>
                <w:kern w:val="0"/>
                <w:sz w:val="32"/>
                <w:szCs w:val="32"/>
              </w:rPr>
              <w:t>二级指标</w:t>
            </w:r>
          </w:p>
        </w:tc>
        <w:tc>
          <w:tcPr>
            <w:tcW w:w="6447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bCs/>
                <w:kern w:val="0"/>
                <w:sz w:val="32"/>
                <w:szCs w:val="32"/>
              </w:rPr>
              <w:t>指标说明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8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主题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与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内容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(25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分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)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选题明确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(10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分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)</w:t>
            </w:r>
          </w:p>
        </w:tc>
        <w:tc>
          <w:tcPr>
            <w:tcW w:w="6447" w:type="dxa"/>
            <w:vAlign w:val="center"/>
          </w:tcPr>
          <w:p>
            <w:pPr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主题选取科学、合理，尽量做到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“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小而精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”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，系列资源中各个微课围绕主题紧密，单个微课之间存在相关性，同时单个微课具备独立性、完整性和示范性。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重点突出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(10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分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)</w:t>
            </w:r>
          </w:p>
        </w:tc>
        <w:tc>
          <w:tcPr>
            <w:tcW w:w="6447" w:type="dxa"/>
            <w:vAlign w:val="center"/>
          </w:tcPr>
          <w:p>
            <w:pPr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能突出教学中常见、典型、有代表性的问题或内容，能有效解决教与学过程中的重点和难点。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内容科学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(5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分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)</w:t>
            </w:r>
          </w:p>
        </w:tc>
        <w:tc>
          <w:tcPr>
            <w:tcW w:w="6447" w:type="dxa"/>
            <w:vAlign w:val="center"/>
          </w:tcPr>
          <w:p>
            <w:pPr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内容严谨充实，无科学性、政策性错误，能反映社会和学科发展。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58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设计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与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安排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(25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分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)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设计合理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(10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分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)</w:t>
            </w:r>
          </w:p>
        </w:tc>
        <w:tc>
          <w:tcPr>
            <w:tcW w:w="6447" w:type="dxa"/>
            <w:vAlign w:val="center"/>
          </w:tcPr>
          <w:p>
            <w:pPr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教学目标明确，思路清晰；组织与编排符合学生认知规律；能突出学生的主体性以及教与学活动有机结合，注重学生全面发展。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方法适当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(10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分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)</w:t>
            </w:r>
          </w:p>
        </w:tc>
        <w:tc>
          <w:tcPr>
            <w:tcW w:w="6447" w:type="dxa"/>
            <w:vAlign w:val="center"/>
          </w:tcPr>
          <w:p>
            <w:pPr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能根据教学需求选用灵活适当的教学方法和策略，注重调动学生的学习积极性和创造性思维能力；信息技术手段运用合理，教学媒体选择恰当，教学辅助效果好。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形式新颖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(5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分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)</w:t>
            </w:r>
          </w:p>
        </w:tc>
        <w:tc>
          <w:tcPr>
            <w:tcW w:w="6447" w:type="dxa"/>
            <w:vAlign w:val="center"/>
          </w:tcPr>
          <w:p>
            <w:pPr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构思新颖，富有创意，录制方法与工具可以自由组合，如用手写板、电子白板、黑板、白纸、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PPT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、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Pad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、录屏工具软件、手机、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DV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摄像机、数码相机等制作。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8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表达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与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讲解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(20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分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)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语言清晰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(10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分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)</w:t>
            </w:r>
          </w:p>
        </w:tc>
        <w:tc>
          <w:tcPr>
            <w:tcW w:w="6447" w:type="dxa"/>
            <w:vAlign w:val="center"/>
          </w:tcPr>
          <w:p>
            <w:pPr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教学语言规范清晰，</w:t>
            </w:r>
            <w:r>
              <w:rPr>
                <w:rFonts w:hint="eastAsia" w:ascii="仿宋" w:hAnsi="仿宋" w:eastAsia="仿宋"/>
                <w:color w:val="323232"/>
                <w:kern w:val="0"/>
                <w:sz w:val="32"/>
                <w:szCs w:val="32"/>
              </w:rPr>
              <w:t>声音洪亮、有节奏感，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富有感染力。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表达形象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(10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分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)</w:t>
            </w:r>
          </w:p>
        </w:tc>
        <w:tc>
          <w:tcPr>
            <w:tcW w:w="6447" w:type="dxa"/>
            <w:vAlign w:val="center"/>
          </w:tcPr>
          <w:p>
            <w:pPr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教学过程主线清晰，深入浅出，形象生动，逻辑性和启发引导性强。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58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技术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与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规范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(20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分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)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技术规范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(15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分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)</w:t>
            </w:r>
          </w:p>
        </w:tc>
        <w:tc>
          <w:tcPr>
            <w:tcW w:w="6447" w:type="dxa"/>
            <w:vAlign w:val="center"/>
          </w:tcPr>
          <w:p>
            <w:pPr>
              <w:numPr>
                <w:ilvl w:val="0"/>
                <w:numId w:val="1"/>
              </w:numPr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微视频：时长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分钟；视频图像清晰稳定、</w:t>
            </w:r>
          </w:p>
          <w:p>
            <w:pPr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构图合理、声音清楚，主要教学环节有字幕提示等；微课视频片头应显示学科、教材版本、标题、作者、单位等信息。</w:t>
            </w:r>
          </w:p>
          <w:p>
            <w:pPr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②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作品说明创作文档应包括：微课作品名称和介绍、教学需求分析、教学过程设计、学习指导、配套学习资料、制作技术介绍等。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结构完整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(5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分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)</w:t>
            </w:r>
          </w:p>
        </w:tc>
        <w:tc>
          <w:tcPr>
            <w:tcW w:w="6447" w:type="dxa"/>
            <w:vAlign w:val="center"/>
          </w:tcPr>
          <w:p>
            <w:pPr>
              <w:pStyle w:val="2"/>
              <w:widowControl w:val="0"/>
              <w:overflowPunct w:val="0"/>
              <w:spacing w:before="0" w:beforeAutospacing="0" w:after="0" w:afterAutospacing="0"/>
              <w:jc w:val="both"/>
              <w:textAlignment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作品除包含微课视频，还包含较全面的辅助扩展资料：如多媒体课件、练习与测试、反馈与评价等。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效果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与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评价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(10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分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)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目标达成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(10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分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)</w:t>
            </w:r>
          </w:p>
        </w:tc>
        <w:tc>
          <w:tcPr>
            <w:tcW w:w="6447" w:type="dxa"/>
            <w:vAlign w:val="center"/>
          </w:tcPr>
          <w:p>
            <w:pPr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能完成设定的教学目标，有效解决实际教学问题。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5AA3"/>
    <w:multiLevelType w:val="multilevel"/>
    <w:tmpl w:val="09AD5AA3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05E6E"/>
    <w:rsid w:val="4CF0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2021-10-20T07:01:00Z</dcterms:created>
  <dc:creator>Administrator</dc:creator>
  <cp:lastModifiedBy>Administrator</cp:lastModifiedBy>
  <dcterms:modified xsi:type="dcterms:W3CDTF">2021-10-20T07:01:56Z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