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D812E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DE40A4">
        <w:rPr>
          <w:rFonts w:ascii="仿宋_GB2312" w:eastAsia="仿宋_GB2312" w:hint="eastAsia"/>
          <w:sz w:val="32"/>
          <w:szCs w:val="32"/>
        </w:rPr>
        <w:t>6</w:t>
      </w:r>
    </w:p>
    <w:p w14:paraId="3101708B" w14:textId="77777777" w:rsidR="004D73A9" w:rsidRDefault="004D73A9">
      <w:pPr>
        <w:overflowPunct w:val="0"/>
        <w:adjustRightInd w:val="0"/>
        <w:snapToGrid w:val="0"/>
        <w:spacing w:line="500" w:lineRule="exact"/>
        <w:jc w:val="center"/>
        <w:textAlignment w:val="center"/>
        <w:rPr>
          <w:rFonts w:eastAsia="方正大标宋简体"/>
          <w:sz w:val="44"/>
          <w:szCs w:val="44"/>
        </w:rPr>
      </w:pPr>
      <w:r>
        <w:rPr>
          <w:rFonts w:eastAsia="方正大标宋简体" w:hint="eastAsia"/>
          <w:sz w:val="44"/>
          <w:szCs w:val="44"/>
        </w:rPr>
        <w:t>南京市第六届中小学</w:t>
      </w:r>
      <w:proofErr w:type="gramStart"/>
      <w:r>
        <w:rPr>
          <w:rFonts w:eastAsia="方正大标宋简体" w:hint="eastAsia"/>
          <w:sz w:val="44"/>
          <w:szCs w:val="44"/>
        </w:rPr>
        <w:t>教师微课竞赛</w:t>
      </w:r>
      <w:proofErr w:type="gramEnd"/>
    </w:p>
    <w:p w14:paraId="1F474C21" w14:textId="77777777" w:rsidR="004D73A9" w:rsidRDefault="004D73A9">
      <w:pPr>
        <w:overflowPunct w:val="0"/>
        <w:adjustRightInd w:val="0"/>
        <w:snapToGrid w:val="0"/>
        <w:spacing w:line="500" w:lineRule="exact"/>
        <w:jc w:val="center"/>
        <w:textAlignment w:val="center"/>
        <w:rPr>
          <w:rFonts w:eastAsia="方正大标宋简体"/>
          <w:sz w:val="44"/>
          <w:szCs w:val="44"/>
        </w:rPr>
      </w:pPr>
      <w:r>
        <w:rPr>
          <w:rFonts w:eastAsia="方正大标宋简体" w:hint="eastAsia"/>
          <w:sz w:val="44"/>
          <w:szCs w:val="44"/>
        </w:rPr>
        <w:t>初中历史学科参赛规则</w:t>
      </w:r>
    </w:p>
    <w:p w14:paraId="0D405A58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一、参赛对象</w:t>
      </w:r>
    </w:p>
    <w:p w14:paraId="78D698F7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全市初中历史教师</w:t>
      </w:r>
    </w:p>
    <w:p w14:paraId="5BB72202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二、参赛要求</w:t>
      </w:r>
    </w:p>
    <w:p w14:paraId="1BA07E52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参赛形式：</w:t>
      </w:r>
      <w:proofErr w:type="gramStart"/>
      <w:r>
        <w:rPr>
          <w:rFonts w:ascii="仿宋_GB2312" w:eastAsia="仿宋_GB2312" w:hint="eastAsia"/>
          <w:sz w:val="32"/>
          <w:szCs w:val="32"/>
        </w:rPr>
        <w:t>本次微课竞赛</w:t>
      </w:r>
      <w:proofErr w:type="gramEnd"/>
      <w:r>
        <w:rPr>
          <w:rFonts w:ascii="仿宋_GB2312" w:eastAsia="仿宋_GB2312" w:hint="eastAsia"/>
          <w:sz w:val="32"/>
          <w:szCs w:val="32"/>
        </w:rPr>
        <w:t>采取“系列微课”形式，不再接收单一上报</w:t>
      </w:r>
      <w:proofErr w:type="gramStart"/>
      <w:r>
        <w:rPr>
          <w:rFonts w:ascii="仿宋_GB2312" w:eastAsia="仿宋_GB2312" w:hint="eastAsia"/>
          <w:sz w:val="32"/>
          <w:szCs w:val="32"/>
        </w:rPr>
        <w:t>的微课作品</w:t>
      </w:r>
      <w:proofErr w:type="gramEnd"/>
      <w:r>
        <w:rPr>
          <w:rFonts w:ascii="仿宋_GB2312" w:eastAsia="仿宋_GB2312" w:hint="eastAsia"/>
          <w:sz w:val="32"/>
          <w:szCs w:val="32"/>
        </w:rPr>
        <w:t>。每个</w:t>
      </w:r>
      <w:proofErr w:type="gramStart"/>
      <w:r>
        <w:rPr>
          <w:rFonts w:ascii="仿宋_GB2312" w:eastAsia="仿宋_GB2312" w:hint="eastAsia"/>
          <w:sz w:val="32"/>
          <w:szCs w:val="32"/>
        </w:rPr>
        <w:t>系列微课最少</w:t>
      </w:r>
      <w:proofErr w:type="gramEnd"/>
      <w:r>
        <w:rPr>
          <w:rFonts w:ascii="仿宋_GB2312" w:eastAsia="仿宋_GB2312" w:hint="eastAsia"/>
          <w:sz w:val="32"/>
          <w:szCs w:val="32"/>
        </w:rPr>
        <w:t>包含</w:t>
      </w:r>
      <w:proofErr w:type="gramStart"/>
      <w:r>
        <w:rPr>
          <w:rFonts w:ascii="仿宋_GB2312" w:eastAsia="仿宋_GB2312" w:hint="eastAsia"/>
          <w:sz w:val="32"/>
          <w:szCs w:val="32"/>
        </w:rPr>
        <w:t>三个微课视频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14:paraId="771AD039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内容范围：统编版初中</w:t>
      </w:r>
      <w:proofErr w:type="gramStart"/>
      <w:r>
        <w:rPr>
          <w:rFonts w:ascii="仿宋_GB2312" w:eastAsia="仿宋_GB2312" w:hint="eastAsia"/>
          <w:sz w:val="32"/>
          <w:szCs w:val="32"/>
        </w:rPr>
        <w:t>历史七</w:t>
      </w:r>
      <w:proofErr w:type="gramEnd"/>
      <w:r>
        <w:rPr>
          <w:rFonts w:ascii="仿宋_GB2312" w:eastAsia="仿宋_GB2312" w:hint="eastAsia"/>
          <w:sz w:val="32"/>
          <w:szCs w:val="32"/>
        </w:rPr>
        <w:t>年级上册教科书中以单元为主题的知识点。</w:t>
      </w:r>
    </w:p>
    <w:p w14:paraId="5AB32300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三、参赛选题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2627"/>
        <w:gridCol w:w="5059"/>
      </w:tblGrid>
      <w:tr w:rsidR="004D73A9" w14:paraId="753609F0" w14:textId="77777777" w:rsidTr="008D0BCD">
        <w:trPr>
          <w:trHeight w:val="476"/>
          <w:jc w:val="center"/>
        </w:trPr>
        <w:tc>
          <w:tcPr>
            <w:tcW w:w="3980" w:type="dxa"/>
            <w:gridSpan w:val="2"/>
            <w:vAlign w:val="center"/>
          </w:tcPr>
          <w:p w14:paraId="2552A06D" w14:textId="77777777" w:rsidR="004D73A9" w:rsidRDefault="004D73A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教材结构</w:t>
            </w:r>
          </w:p>
        </w:tc>
        <w:tc>
          <w:tcPr>
            <w:tcW w:w="5059" w:type="dxa"/>
            <w:vAlign w:val="center"/>
          </w:tcPr>
          <w:p w14:paraId="6DE13EE0" w14:textId="77777777" w:rsidR="004D73A9" w:rsidRDefault="004D73A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选题</w:t>
            </w:r>
          </w:p>
        </w:tc>
      </w:tr>
      <w:tr w:rsidR="004D73A9" w14:paraId="45920F9F" w14:textId="77777777" w:rsidTr="008D0BCD">
        <w:trPr>
          <w:trHeight w:val="476"/>
          <w:jc w:val="center"/>
        </w:trPr>
        <w:tc>
          <w:tcPr>
            <w:tcW w:w="1353" w:type="dxa"/>
            <w:vMerge w:val="restart"/>
            <w:vAlign w:val="center"/>
          </w:tcPr>
          <w:p w14:paraId="3528320D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第一</w:t>
            </w:r>
          </w:p>
          <w:p w14:paraId="6214EBEC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单元</w:t>
            </w:r>
          </w:p>
        </w:tc>
        <w:tc>
          <w:tcPr>
            <w:tcW w:w="2627" w:type="dxa"/>
            <w:vAlign w:val="center"/>
          </w:tcPr>
          <w:p w14:paraId="57AB9659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史前时期</w:t>
            </w:r>
          </w:p>
        </w:tc>
        <w:tc>
          <w:tcPr>
            <w:tcW w:w="5059" w:type="dxa"/>
            <w:vAlign w:val="center"/>
          </w:tcPr>
          <w:p w14:paraId="6CB3B776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考古发现是了解史前社会历史的重要依据</w:t>
            </w:r>
          </w:p>
        </w:tc>
      </w:tr>
      <w:tr w:rsidR="004D73A9" w14:paraId="19A58C8C" w14:textId="77777777" w:rsidTr="008D0BCD">
        <w:trPr>
          <w:trHeight w:val="421"/>
          <w:jc w:val="center"/>
        </w:trPr>
        <w:tc>
          <w:tcPr>
            <w:tcW w:w="1353" w:type="dxa"/>
            <w:vMerge/>
            <w:vAlign w:val="center"/>
          </w:tcPr>
          <w:p w14:paraId="0F6E140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0D029B59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380E5A28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北京人发现的意义</w:t>
            </w:r>
          </w:p>
        </w:tc>
      </w:tr>
      <w:tr w:rsidR="004D73A9" w14:paraId="4EC4A4B3" w14:textId="77777777" w:rsidTr="008D0BCD">
        <w:trPr>
          <w:trHeight w:val="455"/>
          <w:jc w:val="center"/>
        </w:trPr>
        <w:tc>
          <w:tcPr>
            <w:tcW w:w="1353" w:type="dxa"/>
            <w:vMerge/>
            <w:vAlign w:val="center"/>
          </w:tcPr>
          <w:p w14:paraId="7F0D8C6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45D1534B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0A753D7D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原始农业产生的标志</w:t>
            </w:r>
          </w:p>
        </w:tc>
      </w:tr>
      <w:tr w:rsidR="004D73A9" w14:paraId="2B40801F" w14:textId="77777777" w:rsidTr="008D0BCD">
        <w:trPr>
          <w:trHeight w:val="460"/>
          <w:jc w:val="center"/>
        </w:trPr>
        <w:tc>
          <w:tcPr>
            <w:tcW w:w="1353" w:type="dxa"/>
            <w:vMerge/>
            <w:vAlign w:val="center"/>
          </w:tcPr>
          <w:p w14:paraId="68EF3B05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3CB82069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7EC01DB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传说与神话中历史信息的区分</w:t>
            </w:r>
          </w:p>
        </w:tc>
      </w:tr>
      <w:tr w:rsidR="004D73A9" w14:paraId="5B5F8A8C" w14:textId="77777777" w:rsidTr="008D0BCD">
        <w:trPr>
          <w:trHeight w:val="461"/>
          <w:jc w:val="center"/>
        </w:trPr>
        <w:tc>
          <w:tcPr>
            <w:tcW w:w="1353" w:type="dxa"/>
            <w:vMerge w:val="restart"/>
            <w:vAlign w:val="center"/>
          </w:tcPr>
          <w:p w14:paraId="647FF74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第二</w:t>
            </w:r>
          </w:p>
          <w:p w14:paraId="1C3F6792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单元</w:t>
            </w:r>
          </w:p>
        </w:tc>
        <w:tc>
          <w:tcPr>
            <w:tcW w:w="2627" w:type="dxa"/>
            <w:vAlign w:val="center"/>
          </w:tcPr>
          <w:p w14:paraId="477505A9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夏商周时期</w:t>
            </w:r>
          </w:p>
        </w:tc>
        <w:tc>
          <w:tcPr>
            <w:tcW w:w="5059" w:type="dxa"/>
            <w:vAlign w:val="center"/>
          </w:tcPr>
          <w:p w14:paraId="6F66F205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夏商周时期历史发展的基本线索</w:t>
            </w:r>
          </w:p>
        </w:tc>
      </w:tr>
      <w:tr w:rsidR="004D73A9" w14:paraId="1566D8C0" w14:textId="77777777" w:rsidTr="008D0BCD">
        <w:trPr>
          <w:trHeight w:val="476"/>
          <w:jc w:val="center"/>
        </w:trPr>
        <w:tc>
          <w:tcPr>
            <w:tcW w:w="1353" w:type="dxa"/>
            <w:vMerge/>
            <w:vAlign w:val="center"/>
          </w:tcPr>
          <w:p w14:paraId="7B5309E0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3BAEE198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3F114A9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西周的分封制及其作用</w:t>
            </w:r>
          </w:p>
        </w:tc>
      </w:tr>
      <w:tr w:rsidR="004D73A9" w14:paraId="36D91938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2595EE15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03DB552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105F6602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商周青铜工艺的成就</w:t>
            </w:r>
          </w:p>
        </w:tc>
      </w:tr>
      <w:tr w:rsidR="004D73A9" w14:paraId="4B1B7E65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41A93F8D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14F7E5A2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6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0531306D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春秋战国时期的诸侯之间的战争</w:t>
            </w:r>
          </w:p>
        </w:tc>
      </w:tr>
      <w:tr w:rsidR="004D73A9" w14:paraId="49F48768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78CCB66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607E0207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5D20AF5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春秋战国时期的社会变化</w:t>
            </w:r>
          </w:p>
        </w:tc>
      </w:tr>
      <w:tr w:rsidR="004D73A9" w14:paraId="7ED8AD04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44FB8DF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01819612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6366EE81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“百家争鸣”对后世的影响</w:t>
            </w:r>
          </w:p>
        </w:tc>
      </w:tr>
      <w:tr w:rsidR="004D73A9" w14:paraId="6C48FA1F" w14:textId="77777777" w:rsidTr="008D0BCD">
        <w:trPr>
          <w:trHeight w:val="492"/>
          <w:jc w:val="center"/>
        </w:trPr>
        <w:tc>
          <w:tcPr>
            <w:tcW w:w="1353" w:type="dxa"/>
            <w:vMerge w:val="restart"/>
            <w:vAlign w:val="center"/>
          </w:tcPr>
          <w:p w14:paraId="59727C2C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</w:t>
            </w:r>
          </w:p>
          <w:p w14:paraId="1812786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单元</w:t>
            </w:r>
          </w:p>
        </w:tc>
        <w:tc>
          <w:tcPr>
            <w:tcW w:w="2627" w:type="dxa"/>
            <w:vAlign w:val="center"/>
          </w:tcPr>
          <w:p w14:paraId="17A2E2A3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秦汉时期</w:t>
            </w:r>
          </w:p>
        </w:tc>
        <w:tc>
          <w:tcPr>
            <w:tcW w:w="5059" w:type="dxa"/>
            <w:vAlign w:val="center"/>
          </w:tcPr>
          <w:p w14:paraId="5EDD566A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统一多民族国家的建立与巩固</w:t>
            </w:r>
          </w:p>
        </w:tc>
      </w:tr>
      <w:tr w:rsidR="004D73A9" w14:paraId="0EA6644B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46B05A6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76889427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70A89699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秦朝中央集权制度和统一措施</w:t>
            </w:r>
          </w:p>
        </w:tc>
      </w:tr>
      <w:tr w:rsidR="004D73A9" w14:paraId="2DA85C2D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20625CB3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788B157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10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0AC47425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秦朝二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世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而亡的原因</w:t>
            </w:r>
          </w:p>
        </w:tc>
      </w:tr>
      <w:tr w:rsidR="004D73A9" w14:paraId="2CEDE658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2EE4EEAF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1FA57C3A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2A9B8FF1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“文景之治”的出现</w:t>
            </w:r>
          </w:p>
        </w:tc>
      </w:tr>
      <w:tr w:rsidR="004D73A9" w14:paraId="0071786B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3DAA96FC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546F134B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12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4444049B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汉武帝巩固“大一统”王朝</w:t>
            </w:r>
          </w:p>
        </w:tc>
      </w:tr>
      <w:tr w:rsidR="004D73A9" w14:paraId="64545057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1C2546A3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5D13A3AC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13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557AD543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“光武中兴”的出现</w:t>
            </w:r>
          </w:p>
        </w:tc>
      </w:tr>
      <w:tr w:rsidR="004D73A9" w14:paraId="5953A53B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119B141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055F75B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14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3A3333B6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丝绸之路的开通</w:t>
            </w:r>
          </w:p>
        </w:tc>
      </w:tr>
      <w:tr w:rsidR="004D73A9" w14:paraId="6E7E95F8" w14:textId="77777777" w:rsidTr="008D0BCD">
        <w:trPr>
          <w:trHeight w:val="492"/>
          <w:jc w:val="center"/>
        </w:trPr>
        <w:tc>
          <w:tcPr>
            <w:tcW w:w="1353" w:type="dxa"/>
            <w:vMerge/>
            <w:vAlign w:val="center"/>
          </w:tcPr>
          <w:p w14:paraId="78F6B9A6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2C3D00C1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15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3B52B1DF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秦汉文化的主要成就</w:t>
            </w:r>
          </w:p>
        </w:tc>
      </w:tr>
      <w:tr w:rsidR="004D73A9" w14:paraId="2915C3E2" w14:textId="77777777" w:rsidTr="008D0BCD">
        <w:trPr>
          <w:trHeight w:val="492"/>
          <w:jc w:val="center"/>
        </w:trPr>
        <w:tc>
          <w:tcPr>
            <w:tcW w:w="1353" w:type="dxa"/>
            <w:vMerge w:val="restart"/>
            <w:vAlign w:val="center"/>
          </w:tcPr>
          <w:p w14:paraId="094C42C2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第四</w:t>
            </w:r>
          </w:p>
          <w:p w14:paraId="4DA9C319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单元</w:t>
            </w:r>
          </w:p>
        </w:tc>
        <w:tc>
          <w:tcPr>
            <w:tcW w:w="2627" w:type="dxa"/>
            <w:vAlign w:val="center"/>
          </w:tcPr>
          <w:p w14:paraId="04AE7FE2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三国两晋南北朝时期</w:t>
            </w:r>
          </w:p>
        </w:tc>
        <w:tc>
          <w:tcPr>
            <w:tcW w:w="5059" w:type="dxa"/>
            <w:vAlign w:val="center"/>
          </w:tcPr>
          <w:p w14:paraId="356CC6DC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两晋南北朝的更替</w:t>
            </w:r>
          </w:p>
        </w:tc>
      </w:tr>
      <w:tr w:rsidR="004D73A9" w14:paraId="79AB9730" w14:textId="77777777" w:rsidTr="008D0BCD">
        <w:trPr>
          <w:trHeight w:val="492"/>
          <w:jc w:val="center"/>
        </w:trPr>
        <w:tc>
          <w:tcPr>
            <w:tcW w:w="1353" w:type="dxa"/>
            <w:vMerge/>
          </w:tcPr>
          <w:p w14:paraId="43088666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3918D3F7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16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08888D91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三国鼎立局面的形成</w:t>
            </w:r>
          </w:p>
        </w:tc>
      </w:tr>
      <w:tr w:rsidR="004D73A9" w14:paraId="108BAED6" w14:textId="77777777" w:rsidTr="008D0BCD">
        <w:trPr>
          <w:trHeight w:val="492"/>
          <w:jc w:val="center"/>
        </w:trPr>
        <w:tc>
          <w:tcPr>
            <w:tcW w:w="1353" w:type="dxa"/>
            <w:vMerge/>
          </w:tcPr>
          <w:p w14:paraId="46D41063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50857ADC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17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2BC71C0B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北方各族的内迁</w:t>
            </w:r>
          </w:p>
        </w:tc>
      </w:tr>
      <w:tr w:rsidR="004D73A9" w14:paraId="5360592B" w14:textId="77777777" w:rsidTr="008D0BCD">
        <w:trPr>
          <w:trHeight w:val="492"/>
          <w:jc w:val="center"/>
        </w:trPr>
        <w:tc>
          <w:tcPr>
            <w:tcW w:w="1353" w:type="dxa"/>
            <w:vMerge/>
          </w:tcPr>
          <w:p w14:paraId="59BEFD3D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0F060187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18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74754EE3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江南地区的开发</w:t>
            </w:r>
          </w:p>
        </w:tc>
      </w:tr>
      <w:tr w:rsidR="004D73A9" w14:paraId="28149E21" w14:textId="77777777" w:rsidTr="008D0BCD">
        <w:trPr>
          <w:trHeight w:val="492"/>
          <w:jc w:val="center"/>
        </w:trPr>
        <w:tc>
          <w:tcPr>
            <w:tcW w:w="1353" w:type="dxa"/>
            <w:vMerge/>
          </w:tcPr>
          <w:p w14:paraId="3249A675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4E839631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19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2925BEC7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北魏政治和北方民族大交融</w:t>
            </w:r>
          </w:p>
        </w:tc>
      </w:tr>
      <w:tr w:rsidR="004D73A9" w14:paraId="4864CAEF" w14:textId="77777777" w:rsidTr="008D0BCD">
        <w:trPr>
          <w:trHeight w:val="492"/>
          <w:jc w:val="center"/>
        </w:trPr>
        <w:tc>
          <w:tcPr>
            <w:tcW w:w="1353" w:type="dxa"/>
            <w:vMerge/>
          </w:tcPr>
          <w:p w14:paraId="3A03168E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238512C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20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432DA020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魏晋南北朝时期中华文明的传承与发展</w:t>
            </w:r>
          </w:p>
        </w:tc>
      </w:tr>
      <w:tr w:rsidR="004D73A9" w14:paraId="3C49CFCA" w14:textId="77777777" w:rsidTr="008D0BCD">
        <w:trPr>
          <w:trHeight w:val="492"/>
          <w:jc w:val="center"/>
        </w:trPr>
        <w:tc>
          <w:tcPr>
            <w:tcW w:w="1353" w:type="dxa"/>
            <w:vMerge/>
          </w:tcPr>
          <w:p w14:paraId="5DCA0E76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27" w:type="dxa"/>
            <w:vAlign w:val="center"/>
          </w:tcPr>
          <w:p w14:paraId="2B99A454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ascii="仿宋_GB2312" w:eastAsia="仿宋_GB2312" w:hint="eastAsia"/>
                <w:szCs w:val="21"/>
              </w:rPr>
              <w:t>课</w:t>
            </w:r>
          </w:p>
        </w:tc>
        <w:tc>
          <w:tcPr>
            <w:tcW w:w="5059" w:type="dxa"/>
            <w:vAlign w:val="center"/>
          </w:tcPr>
          <w:p w14:paraId="4041EDBA" w14:textId="77777777" w:rsidR="004D73A9" w:rsidRDefault="004D73A9" w:rsidP="00BF0105">
            <w:pPr>
              <w:overflowPunct w:val="0"/>
              <w:adjustRightInd w:val="0"/>
              <w:snapToGrid w:val="0"/>
              <w:spacing w:line="500" w:lineRule="exact"/>
              <w:ind w:firstLineChars="200" w:firstLine="420"/>
              <w:jc w:val="left"/>
              <w:textAlignment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多途径感知身边的历史</w:t>
            </w:r>
          </w:p>
        </w:tc>
      </w:tr>
    </w:tbl>
    <w:p w14:paraId="76B53C57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四、参赛管理</w:t>
      </w:r>
    </w:p>
    <w:p w14:paraId="21D8CC25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1.</w:t>
      </w:r>
      <w:r>
        <w:rPr>
          <w:rFonts w:ascii="仿宋_GB2312" w:eastAsia="仿宋_GB2312" w:hAnsi="Times New Roman" w:hint="eastAsia"/>
          <w:sz w:val="32"/>
          <w:szCs w:val="32"/>
        </w:rPr>
        <w:t>各区上报符合要求的初中历史系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列微课数量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最多</w:t>
      </w:r>
      <w:r>
        <w:rPr>
          <w:rFonts w:ascii="仿宋_GB2312" w:eastAsia="仿宋_GB2312" w:hAnsi="Times New Roman"/>
          <w:sz w:val="32"/>
          <w:szCs w:val="32"/>
        </w:rPr>
        <w:t>30</w:t>
      </w:r>
      <w:r>
        <w:rPr>
          <w:rFonts w:ascii="仿宋_GB2312" w:eastAsia="仿宋_GB2312" w:hAnsi="Times New Roman" w:hint="eastAsia"/>
          <w:sz w:val="32"/>
          <w:szCs w:val="32"/>
        </w:rPr>
        <w:t>件，直属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校数量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不限。</w:t>
      </w:r>
    </w:p>
    <w:p w14:paraId="151C68B5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2.</w:t>
      </w:r>
      <w:r>
        <w:rPr>
          <w:rFonts w:ascii="仿宋_GB2312" w:eastAsia="仿宋_GB2312" w:hAnsi="Times New Roman" w:hint="eastAsia"/>
          <w:sz w:val="32"/>
          <w:szCs w:val="32"/>
        </w:rPr>
        <w:t>初中历史系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列微课最多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可以填报</w:t>
      </w:r>
      <w:r>
        <w:rPr>
          <w:rFonts w:ascii="仿宋_GB2312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位作者。</w:t>
      </w:r>
    </w:p>
    <w:p w14:paraId="11242612" w14:textId="5E097AB5" w:rsidR="008D0BCD" w:rsidRPr="008D0BCD" w:rsidRDefault="004D73A9" w:rsidP="003F5426">
      <w:pPr>
        <w:pStyle w:val="af2"/>
        <w:spacing w:line="44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3.</w:t>
      </w:r>
      <w:r>
        <w:rPr>
          <w:rFonts w:ascii="仿宋_GB2312" w:eastAsia="仿宋_GB2312" w:hAnsi="Times New Roman" w:hint="eastAsia"/>
          <w:sz w:val="32"/>
          <w:szCs w:val="32"/>
        </w:rPr>
        <w:t>市级评审按照</w:t>
      </w:r>
      <w:r>
        <w:rPr>
          <w:rFonts w:ascii="仿宋_GB2312" w:eastAsia="仿宋_GB2312" w:hAnsi="Times New Roman"/>
          <w:sz w:val="32"/>
          <w:szCs w:val="32"/>
        </w:rPr>
        <w:t>10%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15%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25%</w:t>
      </w:r>
      <w:r>
        <w:rPr>
          <w:rFonts w:ascii="仿宋_GB2312" w:eastAsia="仿宋_GB2312" w:hAnsi="Times New Roman" w:hint="eastAsia"/>
          <w:sz w:val="32"/>
          <w:szCs w:val="32"/>
        </w:rPr>
        <w:t>设立一、二、三等奖。</w:t>
      </w:r>
      <w:bookmarkStart w:id="0" w:name="_GoBack"/>
      <w:bookmarkEnd w:id="0"/>
    </w:p>
    <w:sectPr w:rsidR="008D0BCD" w:rsidRPr="008D0BCD" w:rsidSect="003F5426">
      <w:headerReference w:type="even" r:id="rId7"/>
      <w:headerReference w:type="default" r:id="rId8"/>
      <w:footerReference w:type="default" r:id="rId9"/>
      <w:pgSz w:w="11906" w:h="16838" w:code="9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F57CA" w14:textId="77777777" w:rsidR="00C60FCB" w:rsidRDefault="00C60FCB" w:rsidP="009C7F7F">
      <w:r>
        <w:separator/>
      </w:r>
    </w:p>
  </w:endnote>
  <w:endnote w:type="continuationSeparator" w:id="0">
    <w:p w14:paraId="686C5610" w14:textId="77777777" w:rsidR="00C60FCB" w:rsidRDefault="00C60FCB" w:rsidP="009C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D4030" w14:textId="77777777" w:rsidR="008D0BCD" w:rsidRDefault="00C60FC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0E82" w:rsidRPr="008F0E82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6D442031" w14:textId="77777777" w:rsidR="004D73A9" w:rsidRDefault="004D73A9">
    <w:pPr>
      <w:pStyle w:val="a9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EBBD" w14:textId="77777777" w:rsidR="00C60FCB" w:rsidRDefault="00C60FCB" w:rsidP="009C7F7F">
      <w:r>
        <w:separator/>
      </w:r>
    </w:p>
  </w:footnote>
  <w:footnote w:type="continuationSeparator" w:id="0">
    <w:p w14:paraId="25E90F19" w14:textId="77777777" w:rsidR="00C60FCB" w:rsidRDefault="00C60FCB" w:rsidP="009C7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03F15" w14:textId="77777777" w:rsidR="004D73A9" w:rsidRDefault="004D73A9" w:rsidP="00DE40A4">
    <w:pPr>
      <w:pStyle w:val="ab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66AD4" w14:textId="77777777" w:rsidR="004D73A9" w:rsidRDefault="004D73A9" w:rsidP="00DE40A4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CA7"/>
    <w:rsid w:val="0007318B"/>
    <w:rsid w:val="00081544"/>
    <w:rsid w:val="00084AB5"/>
    <w:rsid w:val="000945E9"/>
    <w:rsid w:val="000A3240"/>
    <w:rsid w:val="000C7EDB"/>
    <w:rsid w:val="000D6880"/>
    <w:rsid w:val="000F4AAC"/>
    <w:rsid w:val="00130FAF"/>
    <w:rsid w:val="00165DFA"/>
    <w:rsid w:val="0017657E"/>
    <w:rsid w:val="00177DDA"/>
    <w:rsid w:val="001831DB"/>
    <w:rsid w:val="0019410A"/>
    <w:rsid w:val="001960BC"/>
    <w:rsid w:val="001D3058"/>
    <w:rsid w:val="001F0BEE"/>
    <w:rsid w:val="00200EA2"/>
    <w:rsid w:val="00215108"/>
    <w:rsid w:val="0021597D"/>
    <w:rsid w:val="00236235"/>
    <w:rsid w:val="00257740"/>
    <w:rsid w:val="0026264A"/>
    <w:rsid w:val="002852E6"/>
    <w:rsid w:val="002C6866"/>
    <w:rsid w:val="002D4AF0"/>
    <w:rsid w:val="002E003C"/>
    <w:rsid w:val="002E2BD4"/>
    <w:rsid w:val="002E7194"/>
    <w:rsid w:val="00304255"/>
    <w:rsid w:val="00307165"/>
    <w:rsid w:val="00322A69"/>
    <w:rsid w:val="003252C0"/>
    <w:rsid w:val="0033409B"/>
    <w:rsid w:val="0037053D"/>
    <w:rsid w:val="00382ACC"/>
    <w:rsid w:val="00397771"/>
    <w:rsid w:val="003B2E72"/>
    <w:rsid w:val="003B57E9"/>
    <w:rsid w:val="003C44B6"/>
    <w:rsid w:val="003E4AB2"/>
    <w:rsid w:val="003F5426"/>
    <w:rsid w:val="00456CA7"/>
    <w:rsid w:val="004655AB"/>
    <w:rsid w:val="00465634"/>
    <w:rsid w:val="004C74A0"/>
    <w:rsid w:val="004D73A9"/>
    <w:rsid w:val="00503143"/>
    <w:rsid w:val="005842DC"/>
    <w:rsid w:val="0059171B"/>
    <w:rsid w:val="00593077"/>
    <w:rsid w:val="005B6AEF"/>
    <w:rsid w:val="005C0FF8"/>
    <w:rsid w:val="005D3BE2"/>
    <w:rsid w:val="005D77B1"/>
    <w:rsid w:val="0061415B"/>
    <w:rsid w:val="006207F9"/>
    <w:rsid w:val="00632473"/>
    <w:rsid w:val="00633D76"/>
    <w:rsid w:val="0064141B"/>
    <w:rsid w:val="00661471"/>
    <w:rsid w:val="006D1978"/>
    <w:rsid w:val="006E2AF3"/>
    <w:rsid w:val="006E6CE1"/>
    <w:rsid w:val="006F7161"/>
    <w:rsid w:val="00724AD1"/>
    <w:rsid w:val="0072698B"/>
    <w:rsid w:val="00790854"/>
    <w:rsid w:val="007915D8"/>
    <w:rsid w:val="007933D6"/>
    <w:rsid w:val="00796330"/>
    <w:rsid w:val="007C12C2"/>
    <w:rsid w:val="007C1E88"/>
    <w:rsid w:val="007C41F7"/>
    <w:rsid w:val="007F35EE"/>
    <w:rsid w:val="007F6C0D"/>
    <w:rsid w:val="008009E2"/>
    <w:rsid w:val="008310D0"/>
    <w:rsid w:val="00831453"/>
    <w:rsid w:val="00856EEB"/>
    <w:rsid w:val="00864E95"/>
    <w:rsid w:val="0088552E"/>
    <w:rsid w:val="00885D43"/>
    <w:rsid w:val="008D0BCD"/>
    <w:rsid w:val="008F0E82"/>
    <w:rsid w:val="009343C5"/>
    <w:rsid w:val="0095656F"/>
    <w:rsid w:val="009A5E7B"/>
    <w:rsid w:val="009A776C"/>
    <w:rsid w:val="009C561C"/>
    <w:rsid w:val="009C7F7F"/>
    <w:rsid w:val="009E6934"/>
    <w:rsid w:val="009E6D9A"/>
    <w:rsid w:val="009E758C"/>
    <w:rsid w:val="009F3ED2"/>
    <w:rsid w:val="00A03E3D"/>
    <w:rsid w:val="00A214EA"/>
    <w:rsid w:val="00A2371D"/>
    <w:rsid w:val="00A238FA"/>
    <w:rsid w:val="00A4235C"/>
    <w:rsid w:val="00A629E6"/>
    <w:rsid w:val="00A743A3"/>
    <w:rsid w:val="00A84D91"/>
    <w:rsid w:val="00A854C1"/>
    <w:rsid w:val="00AA08EB"/>
    <w:rsid w:val="00AA2E19"/>
    <w:rsid w:val="00AB7C80"/>
    <w:rsid w:val="00AD6FD3"/>
    <w:rsid w:val="00B83A85"/>
    <w:rsid w:val="00B930D7"/>
    <w:rsid w:val="00B96201"/>
    <w:rsid w:val="00BA69BE"/>
    <w:rsid w:val="00BA75CB"/>
    <w:rsid w:val="00BB657D"/>
    <w:rsid w:val="00BE3C6A"/>
    <w:rsid w:val="00BF0105"/>
    <w:rsid w:val="00C16FA5"/>
    <w:rsid w:val="00C60FCB"/>
    <w:rsid w:val="00C71052"/>
    <w:rsid w:val="00CB2DC7"/>
    <w:rsid w:val="00CF31A4"/>
    <w:rsid w:val="00D34698"/>
    <w:rsid w:val="00D50027"/>
    <w:rsid w:val="00D75FD6"/>
    <w:rsid w:val="00D80DB5"/>
    <w:rsid w:val="00D842C8"/>
    <w:rsid w:val="00DA38C6"/>
    <w:rsid w:val="00DB2B58"/>
    <w:rsid w:val="00DE40A4"/>
    <w:rsid w:val="00DE5B4B"/>
    <w:rsid w:val="00DE759F"/>
    <w:rsid w:val="00DF3AA4"/>
    <w:rsid w:val="00E40252"/>
    <w:rsid w:val="00E61788"/>
    <w:rsid w:val="00E61AC8"/>
    <w:rsid w:val="00E713B0"/>
    <w:rsid w:val="00E97B88"/>
    <w:rsid w:val="00EB699D"/>
    <w:rsid w:val="00F10CF1"/>
    <w:rsid w:val="00F13ED9"/>
    <w:rsid w:val="00F251E3"/>
    <w:rsid w:val="00F31DA1"/>
    <w:rsid w:val="00FE592B"/>
    <w:rsid w:val="00FF0B11"/>
    <w:rsid w:val="550D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C20162"/>
  <w15:docId w15:val="{A655641A-1347-4041-A631-9E803D66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7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9C7F7F"/>
    <w:pPr>
      <w:jc w:val="left"/>
    </w:pPr>
  </w:style>
  <w:style w:type="character" w:customStyle="1" w:styleId="a4">
    <w:name w:val="批注文字 字符"/>
    <w:link w:val="a3"/>
    <w:uiPriority w:val="99"/>
    <w:semiHidden/>
    <w:locked/>
    <w:rsid w:val="009C7F7F"/>
    <w:rPr>
      <w:rFonts w:ascii="Times New Roman" w:eastAsia="宋体" w:hAnsi="Times New Roman" w:cs="Times New Roman"/>
      <w:sz w:val="24"/>
      <w:szCs w:val="24"/>
    </w:rPr>
  </w:style>
  <w:style w:type="paragraph" w:styleId="a5">
    <w:name w:val="Date"/>
    <w:basedOn w:val="a"/>
    <w:next w:val="a"/>
    <w:link w:val="a6"/>
    <w:uiPriority w:val="99"/>
    <w:semiHidden/>
    <w:rsid w:val="009C7F7F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9C7F7F"/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C7F7F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9C7F7F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9C7F7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a">
    <w:name w:val="页脚 字符"/>
    <w:link w:val="a9"/>
    <w:uiPriority w:val="99"/>
    <w:locked/>
    <w:rsid w:val="009C7F7F"/>
    <w:rPr>
      <w:rFonts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9C7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c">
    <w:name w:val="页眉 字符"/>
    <w:link w:val="ab"/>
    <w:uiPriority w:val="99"/>
    <w:locked/>
    <w:rsid w:val="009C7F7F"/>
    <w:rPr>
      <w:rFonts w:cs="Times New Roman"/>
      <w:sz w:val="18"/>
      <w:szCs w:val="18"/>
    </w:rPr>
  </w:style>
  <w:style w:type="paragraph" w:styleId="ad">
    <w:name w:val="Normal (Web)"/>
    <w:basedOn w:val="a"/>
    <w:uiPriority w:val="99"/>
    <w:rsid w:val="009C7F7F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semiHidden/>
    <w:rsid w:val="009C7F7F"/>
    <w:rPr>
      <w:b/>
      <w:bCs/>
    </w:rPr>
  </w:style>
  <w:style w:type="character" w:customStyle="1" w:styleId="af">
    <w:name w:val="批注主题 字符"/>
    <w:link w:val="ae"/>
    <w:uiPriority w:val="99"/>
    <w:semiHidden/>
    <w:locked/>
    <w:rsid w:val="009C7F7F"/>
    <w:rPr>
      <w:rFonts w:ascii="Times New Roman" w:eastAsia="宋体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99"/>
    <w:rsid w:val="009C7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rsid w:val="009C7F7F"/>
    <w:rPr>
      <w:rFonts w:cs="Times New Roman"/>
      <w:sz w:val="21"/>
      <w:szCs w:val="21"/>
    </w:rPr>
  </w:style>
  <w:style w:type="paragraph" w:customStyle="1" w:styleId="Default">
    <w:name w:val="Default"/>
    <w:uiPriority w:val="99"/>
    <w:rsid w:val="009C7F7F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styleId="af2">
    <w:name w:val="List Paragraph"/>
    <w:basedOn w:val="a"/>
    <w:uiPriority w:val="99"/>
    <w:qFormat/>
    <w:rsid w:val="009C7F7F"/>
    <w:pPr>
      <w:ind w:firstLineChars="200" w:firstLine="420"/>
    </w:pPr>
    <w:rPr>
      <w:rFonts w:ascii="Calibri" w:hAnsi="Calibri"/>
      <w:szCs w:val="22"/>
    </w:rPr>
  </w:style>
  <w:style w:type="character" w:styleId="af3">
    <w:name w:val="Hyperlink"/>
    <w:uiPriority w:val="99"/>
    <w:rsid w:val="009E6D9A"/>
    <w:rPr>
      <w:rFonts w:cs="Times New Roman"/>
      <w:color w:val="0000FF"/>
      <w:u w:val="single"/>
    </w:rPr>
  </w:style>
  <w:style w:type="character" w:customStyle="1" w:styleId="1">
    <w:name w:val="未处理的提及1"/>
    <w:uiPriority w:val="99"/>
    <w:semiHidden/>
    <w:rsid w:val="009E6D9A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0D95B-00DA-4AED-9FCD-49D6FD84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632</Characters>
  <Application>Microsoft Office Word</Application>
  <DocSecurity>0</DocSecurity>
  <Lines>5</Lines>
  <Paragraphs>1</Paragraphs>
  <ScaleCrop>false</ScaleCrop>
  <Company>zyyf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阚建</cp:lastModifiedBy>
  <cp:revision>2</cp:revision>
  <cp:lastPrinted>2019-11-11T07:55:00Z</cp:lastPrinted>
  <dcterms:created xsi:type="dcterms:W3CDTF">2019-11-11T09:19:00Z</dcterms:created>
  <dcterms:modified xsi:type="dcterms:W3CDTF">2019-11-11T09:19:00Z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