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u w:val="single"/>
        </w:rPr>
        <w:t>南京市莲花实验学校（小学部）户外演出扩声系统设备采购及安装服务项目</w:t>
      </w:r>
    </w:p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采购需求</w:t>
      </w:r>
    </w:p>
    <w:p>
      <w:pPr>
        <w:jc w:val="center"/>
        <w:rPr>
          <w:rFonts w:ascii="仿宋" w:hAnsi="仿宋" w:eastAsia="仿宋"/>
          <w:sz w:val="36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本次招标采购拟实现的功能和目标</w:t>
      </w:r>
    </w:p>
    <w:p>
      <w:pPr>
        <w:ind w:firstLine="48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  <w:szCs w:val="21"/>
        </w:rPr>
        <w:t>本项目计划采购一套户外演出扩声系统，包含6只户外防水音箱及周边音响处理设备，用于学校户外演出扩声，提升师生的户外活动体验。</w:t>
      </w:r>
    </w:p>
    <w:p>
      <w:pPr>
        <w:pStyle w:val="7"/>
        <w:numPr>
          <w:ilvl w:val="0"/>
          <w:numId w:val="1"/>
        </w:numPr>
        <w:spacing w:before="312" w:beforeLines="100"/>
        <w:ind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产品清单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984"/>
        <w:gridCol w:w="1418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设备名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单位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户外防水全频音箱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只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功率放大器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真分集一拖二无线手持话筒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天线放大器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数字音频处理器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12路调音台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电源时序器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壁挂支架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标准机柜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音频跳线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专业音响工程线（室外）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米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同轴线50Ω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米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穿线辅材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批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39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安装调试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</w:t>
            </w:r>
          </w:p>
        </w:tc>
        <w:tc>
          <w:tcPr>
            <w:tcW w:w="163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</w:tbl>
    <w:p>
      <w:pPr>
        <w:pStyle w:val="7"/>
        <w:numPr>
          <w:ilvl w:val="0"/>
          <w:numId w:val="1"/>
        </w:numPr>
        <w:spacing w:before="312" w:beforeLines="100"/>
        <w:ind w:firstLineChars="0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产品需满足的功能和质量要求，包括性能、材料、结构、外观、安全或服务内容和标准等</w:t>
      </w:r>
    </w:p>
    <w:tbl>
      <w:tblPr>
        <w:tblStyle w:val="4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4820"/>
        <w:gridCol w:w="70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户外防水全频音箱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频率响应范围：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40Hz-20KHz（±3dB）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轴向灵敏度：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100dB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额定承受功率：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500W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连续节目功率：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1100W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低音单元规格：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1X15英寸纸锥驱动器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高音单元规格：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44mm音圈高频驱动器配恒指向性号角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▲短期（峰值）：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8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dB，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提供产品彩页截图佐证，并加盖原厂公章。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长期（额定）：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33</w:t>
            </w:r>
            <w:r>
              <w:rPr>
                <w:rFonts w:ascii="宋体" w:hAnsi="宋体" w:eastAsia="宋体" w:cs="宋体"/>
                <w:kern w:val="0"/>
                <w:szCs w:val="21"/>
              </w:rPr>
              <w:t>dB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功率放大器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2*1000W 8ohm  2*1500W 4ohm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频率响应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+/-0.1dB，20Hz+20KHz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▲总谐波失真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≤0.01% Rated Power@8Ω 1KHz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互调失真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≤0.01% Rated Power@8Ω 1KHz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输入灵敏度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0.775V，1.0V,1.55V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低通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20Hz-180Hz Valid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130Hz-20KHz Vail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输入阻抗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10K/20K ohurs ，unbalanced or balanced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▲共模抑制比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≤-75dB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▲产品符合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CE安全认证、REACH认证及RoHS强制性标准，提供认证证书复印件。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产品符合国家强制性产品CCC认证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产品生产厂家通过ISO9001质量管理体系认证，提供认证证书复印件。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真分集一拖二无线手持话筒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2通道UHF无线网络，每通道内置100个频率可选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配备</w:t>
            </w:r>
            <w:r>
              <w:rPr>
                <w:rFonts w:ascii="宋体" w:hAnsi="宋体" w:eastAsia="宋体" w:cs="宋体"/>
                <w:kern w:val="0"/>
                <w:szCs w:val="21"/>
              </w:rPr>
              <w:t>LCD液晶显示屏，实时反馈系统工作状态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红外线自动对频，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ACT自动选频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话筒铝合金外壳，经久耐用，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2支话筒可互换使用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工作范围：</w:t>
            </w:r>
            <w:r>
              <w:rPr>
                <w:rFonts w:ascii="宋体" w:hAnsi="宋体" w:eastAsia="宋体" w:cs="宋体"/>
                <w:kern w:val="0"/>
                <w:szCs w:val="21"/>
              </w:rPr>
              <w:t>20-60米，开关轻触式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天线放大器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频率范围：500-900MHz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阻抗：50Ω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频宽：300MHz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rPr>
                <w:rFonts w:ascii="宋体" w:hAnsi="宋体" w:eastAsia="宋体"/>
                <w:szCs w:val="21"/>
              </w:rPr>
              <w:t>数字音频处理器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模拟输入通道：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8     模拟输出通道：8 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全面的矩阵混音功能，</w:t>
            </w:r>
            <w:r>
              <w:rPr>
                <w:rFonts w:ascii="宋体" w:hAnsi="宋体" w:eastAsia="宋体" w:cs="宋体"/>
                <w:kern w:val="0"/>
                <w:szCs w:val="21"/>
              </w:rPr>
              <w:t>24bit/48KHz取样频率，高性能A/D D/A转换器和32-bit浮点 DSP处理器。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▲高精度的输入灵敏度调节，共计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21档，步长3dB，最大输入增益51dB。（提供加盖原厂公章的第三方检测报告复印件证明）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▲高效的算法处理：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AFC，AEC，ANS，AUTOMIXER，EQ，GATE，AGC等。（提供加盖原厂公章的第三方检测报告复印件证明）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▲丰富的界面扩展：支持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8通道自定义输入输出的GPIO，电平支持外部输入3.3~24V；USB接口支持录播功能；RS-485支持自动摄像跟踪功能，轻松实现视频会议；RS-232双向串行控制接口：可发送或接受控制，如视频矩阵、摄像机等设备。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支持多组场景预设，场景保存等多种功能，人性化的操作软件接口。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方便快捷的网页控制：内置网页控制埠，在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Windows、Android、iOS等平台上皆可快速操作。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支持手机、平板控制与分布式云控制（提供加盖原厂公章的第三方检测报告复印件证明）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 xml:space="preserve"> DSP音频处理，内置自动混音台，选配反馈消除、回声消除、噪声消除模块（提供加盖原厂公章的第三方检测报告复印件证明）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▲输入每通道：前级放大、信号发生器、扩展器、压缩器、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5段参量均衡（提供加盖原厂公章的第三方检测报告复印件证明）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▲输出每通道：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31段图示均衡、延时器、分频器、限幅器（提供加盖原厂公章的第三方检测报告复印件证明）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▲全功能矩阵混音功能（提供加盖原厂公章的第三方检测报告复印件证明）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▲内置自动摄像跟踪功能（提供加盖原厂公章的第三方检测报告复印件证明）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▲支持场景预设功能；（提供加盖原厂公章的第三方检测报告复印件证明）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▲断电自动保护记忆功能；（提供加盖原厂公章的第三方检测报告复印件证明）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▲自动混音算法（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AUTOMIXER）、反馈消除算法（AFC）、回声消除算法（AEC）、噪声消除算法（ANC）。（提供加盖原厂公章的第三方检测报告复印件证明）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▲提供音频处理器管理系统的软件著作权并加盖原厂公章</w:t>
            </w:r>
          </w:p>
          <w:p>
            <w:pPr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▲提供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CE、CB证书复印件并加盖原厂公章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▲提供国家强制性检测报告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3C证书的复印件并加盖原厂公章。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产品生产厂家通过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中国舞台美术学会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 xml:space="preserve"> 专业舞台音响设计、安装及调试资质等级证书-甲级认证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产品生产厂家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音视频集成工程企业能力等级一级证书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12路调音台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话筒：10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输入通道：16通道：单声道：8；立体声：4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输出通道：STEREO OUT：2；PHONES：1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母线：立体声：1；编组：4，AUX（包括FX）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USB音频：USB音频2.0兼容 采样率：最大192kHz，幻象电源电压：+48V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内建数字效果：24编程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</w:pPr>
            <w:r>
              <w:t>电源时序器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8路智能电源时序器；</w:t>
            </w:r>
            <w:r>
              <w:rPr>
                <w:rFonts w:ascii="宋体" w:hAnsi="宋体" w:eastAsia="宋体" w:cs="宋体"/>
                <w:kern w:val="0"/>
                <w:szCs w:val="21"/>
              </w:rPr>
              <w:cr/>
            </w:r>
            <w:r>
              <w:rPr>
                <w:rFonts w:ascii="宋体" w:hAnsi="宋体" w:eastAsia="宋体" w:cs="宋体"/>
                <w:kern w:val="0"/>
                <w:szCs w:val="21"/>
              </w:rPr>
              <w:t>最大输入电流30A；</w:t>
            </w:r>
            <w:r>
              <w:rPr>
                <w:rFonts w:ascii="宋体" w:hAnsi="宋体" w:eastAsia="宋体" w:cs="宋体"/>
                <w:kern w:val="0"/>
                <w:szCs w:val="21"/>
              </w:rPr>
              <w:cr/>
            </w:r>
            <w:r>
              <w:rPr>
                <w:rFonts w:ascii="宋体" w:hAnsi="宋体" w:eastAsia="宋体" w:cs="宋体"/>
                <w:kern w:val="0"/>
                <w:szCs w:val="21"/>
              </w:rPr>
              <w:t>每路功率可达3000W；</w:t>
            </w:r>
            <w:r>
              <w:rPr>
                <w:rFonts w:ascii="宋体" w:hAnsi="宋体" w:eastAsia="宋体" w:cs="宋体"/>
                <w:kern w:val="0"/>
                <w:szCs w:val="21"/>
              </w:rPr>
              <w:cr/>
            </w:r>
            <w:r>
              <w:rPr>
                <w:rFonts w:ascii="宋体" w:hAnsi="宋体" w:eastAsia="宋体" w:cs="宋体"/>
                <w:kern w:val="0"/>
                <w:szCs w:val="21"/>
              </w:rPr>
              <w:t>带数字显示电压表；可级联使用；</w:t>
            </w:r>
            <w:r>
              <w:rPr>
                <w:rFonts w:ascii="宋体" w:hAnsi="宋体" w:eastAsia="宋体" w:cs="宋体"/>
                <w:kern w:val="0"/>
                <w:szCs w:val="21"/>
              </w:rPr>
              <w:cr/>
            </w:r>
            <w:r>
              <w:rPr>
                <w:rFonts w:ascii="宋体" w:hAnsi="宋体" w:eastAsia="宋体" w:cs="宋体"/>
                <w:kern w:val="0"/>
                <w:szCs w:val="21"/>
              </w:rPr>
              <w:t>德国西牌80A空气开关，KMX专业滤波器；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▲产品符合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CE安全认证、REACH认证及RoHS强制性标准，提供认证证书复印件。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▲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产品生产厂家通过ISO9001质量管理体系认证，提供认证证书复印件。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壁挂支架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加厚支架，承重不小于</w:t>
            </w:r>
            <w:r>
              <w:t>80KG.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标准机柜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t>600*800*2000mm ，进深800mm，配置固定板3块，八孔电源接线板 1个，静音风扇2只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音频跳线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音响接插件、音频跳线、标签等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专业音响工程线（室外）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t>2*2.5灰色绞股音响线，100米/卷，室外敷设。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同轴线50Ω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t>50欧姆同轴电缆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穿线辅材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吊筋、过线盒、线槽、</w:t>
            </w:r>
            <w:r>
              <w:t>PE/PVC穿线管、设备租赁费。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安装调试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</w:pPr>
            <w:r>
              <w:rPr>
                <w:rFonts w:ascii="宋体" w:hAnsi="宋体" w:eastAsia="宋体"/>
                <w:szCs w:val="21"/>
              </w:rPr>
              <w:t>设备集成安装调试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</w:tr>
    </w:tbl>
    <w:p>
      <w:pPr>
        <w:spacing w:before="312" w:beforeLine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四、配件、备件要求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1、本次采购需配备的配件、备件、耗材内容和数量要求：无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后续采购配件、备件、耗材折扣要求：无</w:t>
      </w:r>
    </w:p>
    <w:p>
      <w:pPr>
        <w:spacing w:before="312" w:beforeLine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五、产品需执行的国家相关标准、行业标准、地方标准或者其他标准、规范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</w:t>
      </w:r>
    </w:p>
    <w:p>
      <w:pPr>
        <w:spacing w:before="312" w:beforeLine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六、供应商特殊资质要求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</w:t>
      </w:r>
    </w:p>
    <w:p>
      <w:pPr>
        <w:spacing w:before="312" w:beforeLine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七、商务要求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质保期：在项目到货签收之日起提供原厂</w:t>
      </w:r>
      <w:r>
        <w:rPr>
          <w:rFonts w:ascii="仿宋" w:hAnsi="仿宋" w:eastAsia="仿宋"/>
          <w:sz w:val="24"/>
        </w:rPr>
        <w:t>两年质保</w:t>
      </w:r>
      <w:r>
        <w:rPr>
          <w:rFonts w:hint="eastAsia" w:ascii="仿宋" w:hAnsi="仿宋" w:eastAsia="仿宋"/>
          <w:sz w:val="24"/>
        </w:rPr>
        <w:t>服务</w:t>
      </w:r>
      <w:r>
        <w:rPr>
          <w:rFonts w:ascii="仿宋" w:hAnsi="仿宋" w:eastAsia="仿宋"/>
          <w:sz w:val="24"/>
        </w:rPr>
        <w:t>（在项目验收前需提供原厂售后服务承诺函）</w:t>
      </w:r>
      <w:r>
        <w:rPr>
          <w:rFonts w:hint="eastAsia" w:ascii="仿宋" w:hAnsi="仿宋" w:eastAsia="仿宋"/>
          <w:sz w:val="24"/>
        </w:rPr>
        <w:t>；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交货时间：确定评标结果后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5个日历日内；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交货地点：南京市建邺区平良大街1号南京市莲花实验学校（小学部）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包装和运输要求：到货时需保证包装无破损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保险：无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售后服务响应要求：在项目到货签收之日起提供原厂2</w:t>
      </w:r>
      <w:r>
        <w:rPr>
          <w:rFonts w:ascii="仿宋" w:hAnsi="仿宋" w:eastAsia="仿宋"/>
          <w:sz w:val="24"/>
        </w:rPr>
        <w:t>年7*24小时售后服务（在项目验收前需提供原厂售后服务承诺函）</w:t>
      </w:r>
      <w:r>
        <w:rPr>
          <w:rFonts w:hint="eastAsia" w:ascii="仿宋" w:hAnsi="仿宋" w:eastAsia="仿宋"/>
          <w:sz w:val="24"/>
        </w:rPr>
        <w:t>，本项目设备采购包含设备安装调试等集成化服务。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八、履约验收方案</w:t>
      </w:r>
    </w:p>
    <w:p>
      <w:pPr>
        <w:ind w:firstLine="495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</w:t>
      </w:r>
      <w:r>
        <w:rPr>
          <w:rFonts w:hint="eastAsia" w:ascii="仿宋" w:hAnsi="仿宋" w:eastAsia="仿宋"/>
          <w:b/>
          <w:sz w:val="24"/>
        </w:rPr>
        <w:t>、验收内容（包括每项技术和商务要求）：符合项目的技术要求和商务要求</w:t>
      </w:r>
    </w:p>
    <w:p>
      <w:pPr>
        <w:ind w:firstLine="495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、验收标准（包括所有客观、量化指标）：</w:t>
      </w:r>
    </w:p>
    <w:p>
      <w:pPr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九、评分标准</w:t>
      </w:r>
    </w:p>
    <w:tbl>
      <w:tblPr>
        <w:tblStyle w:val="4"/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123"/>
        <w:gridCol w:w="2477"/>
        <w:gridCol w:w="4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tblHeader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条款号</w:t>
            </w: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条款内容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编列内容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分值构成</w:t>
            </w:r>
          </w:p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(总分100分)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商务部分：</w:t>
            </w:r>
            <w:r>
              <w:rPr>
                <w:rFonts w:hint="eastAsia"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分</w:t>
            </w:r>
          </w:p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技术部分：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分</w:t>
            </w:r>
          </w:p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投标报价：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分</w:t>
            </w:r>
          </w:p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其他评分因素：/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分（如有）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33" w:type="dxa"/>
            <w:gridSpan w:val="2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投标报价</w:t>
            </w: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hint="eastAsia"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所有通过评审的有效投标报价的最低报价为评标基准价。投标报价得分＝（评标基准价/投标报价）*45。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9.3</w:t>
            </w:r>
            <w:r>
              <w:rPr>
                <w:rFonts w:ascii="Times New Roman" w:hAnsi="Times New Roman"/>
                <w:color w:val="000000"/>
              </w:rPr>
              <w:t>（1）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商务评分标准</w:t>
            </w: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相关业绩与经验</w:t>
            </w:r>
          </w:p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（4分）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等线 Light"/>
                <w:color w:val="000000"/>
              </w:rPr>
              <w:t>投标人201</w:t>
            </w:r>
            <w:r>
              <w:rPr>
                <w:rFonts w:ascii="宋体" w:hAnsi="宋体" w:cs="等线 Light"/>
                <w:color w:val="000000"/>
              </w:rPr>
              <w:t>9</w:t>
            </w:r>
            <w:r>
              <w:rPr>
                <w:rFonts w:hint="eastAsia" w:ascii="宋体" w:hAnsi="宋体" w:cs="等线 Light"/>
                <w:color w:val="000000"/>
              </w:rPr>
              <w:t>年1月1日以来（以合同签订时间为准）单项合同金额在人民币3</w:t>
            </w:r>
            <w:r>
              <w:rPr>
                <w:rFonts w:ascii="宋体" w:hAnsi="宋体" w:cs="等线 Light"/>
                <w:color w:val="000000"/>
              </w:rPr>
              <w:t>0</w:t>
            </w:r>
            <w:r>
              <w:rPr>
                <w:rFonts w:hint="eastAsia" w:ascii="宋体" w:hAnsi="宋体" w:cs="等线 Light"/>
                <w:color w:val="000000"/>
              </w:rPr>
              <w:t>万元及以上</w:t>
            </w:r>
            <w:r>
              <w:rPr>
                <w:rFonts w:hint="eastAsia"/>
                <w:color w:val="000000"/>
              </w:rPr>
              <w:t>类似的</w:t>
            </w:r>
            <w:r>
              <w:rPr>
                <w:rFonts w:hint="eastAsia" w:ascii="宋体" w:hAnsi="宋体" w:cs="等线 Light"/>
                <w:color w:val="000000"/>
              </w:rPr>
              <w:t>智能化改造业绩，每提供一个业绩得</w:t>
            </w:r>
            <w:r>
              <w:rPr>
                <w:rFonts w:ascii="宋体" w:hAnsi="宋体" w:cs="等线 Light"/>
                <w:color w:val="000000"/>
              </w:rPr>
              <w:t>1分</w:t>
            </w:r>
            <w:r>
              <w:rPr>
                <w:rFonts w:hint="eastAsia" w:ascii="宋体" w:hAnsi="宋体" w:cs="等线 Light"/>
                <w:color w:val="000000"/>
              </w:rPr>
              <w:t>；每提供一份金额为人民币3</w:t>
            </w:r>
            <w:r>
              <w:rPr>
                <w:rFonts w:ascii="宋体" w:hAnsi="宋体" w:cs="等线 Light"/>
                <w:color w:val="000000"/>
              </w:rPr>
              <w:t>0</w:t>
            </w:r>
            <w:r>
              <w:rPr>
                <w:rFonts w:hint="eastAsia" w:ascii="宋体" w:hAnsi="宋体" w:cs="等线 Light"/>
                <w:color w:val="000000"/>
              </w:rPr>
              <w:t>万元以下</w:t>
            </w:r>
            <w:r>
              <w:rPr>
                <w:rFonts w:hint="eastAsia"/>
                <w:color w:val="000000"/>
              </w:rPr>
              <w:t>类似的</w:t>
            </w:r>
            <w:r>
              <w:rPr>
                <w:rFonts w:hint="eastAsia" w:ascii="宋体" w:hAnsi="宋体" w:cs="等线 Light"/>
                <w:color w:val="000000"/>
              </w:rPr>
              <w:t>智能化改造供货业绩得0.1分，本项</w:t>
            </w:r>
            <w:r>
              <w:rPr>
                <w:rFonts w:ascii="宋体" w:hAnsi="宋体" w:cs="等线 Light"/>
                <w:color w:val="000000"/>
              </w:rPr>
              <w:t>最多得4分</w:t>
            </w:r>
            <w:r>
              <w:rPr>
                <w:rFonts w:hint="eastAsia" w:ascii="宋体" w:hAnsi="宋体" w:cs="等线 Light"/>
                <w:color w:val="000000"/>
              </w:rPr>
              <w:t>；投标文件中提供合同复印件，复印件加盖投标人公章（原件备查）。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企业实力（6分）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投标人具备信息安全管理体系认证证书得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分。</w:t>
            </w:r>
          </w:p>
          <w:p>
            <w:pPr>
              <w:snapToGrid w:val="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投标人具备质量管理体系认证证书得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分。</w:t>
            </w:r>
          </w:p>
          <w:p>
            <w:pPr>
              <w:snapToGrid w:val="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</w:rPr>
              <w:t>投标人具备建筑施工企业安全与生产许可证</w:t>
            </w:r>
          </w:p>
          <w:p>
            <w:pPr>
              <w:snapToGrid w:val="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证书得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分</w:t>
            </w:r>
          </w:p>
          <w:p>
            <w:pPr>
              <w:snapToGrid w:val="0"/>
              <w:spacing w:line="300" w:lineRule="auto"/>
              <w:ind w:right="105" w:rightChars="50"/>
              <w:rPr>
                <w:rFonts w:hint="eastAsia" w:ascii="宋体" w:hAnsi="宋体" w:cs="等线 Light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提供证书复印件加盖供应商公章。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（2）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技术评分标准</w:t>
            </w:r>
          </w:p>
        </w:tc>
        <w:tc>
          <w:tcPr>
            <w:tcW w:w="247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技术指标</w:t>
            </w:r>
          </w:p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hint="eastAsia" w:ascii="宋体" w:hAnsi="宋体" w:cs="方正仿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（33分）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right="105" w:rightChars="50"/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</w:pPr>
            <w:r>
              <w:rPr>
                <w:rFonts w:hint="eastAsia" w:ascii="宋体" w:hAnsi="宋体" w:cs="宋体"/>
              </w:rPr>
              <w:t>产品技术指标符合招标文件要求，基础分为33分，主要设备技术指标（带▲部分）若出现负偏离，每项扣1.5分，其它负偏离每项扣1分，扣完为止。，本项满分33分。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宋体" w:hAnsi="宋体" w:cs="方正仿宋_GBK"/>
                <w:color w:val="000000"/>
              </w:rPr>
            </w:pPr>
            <w:r>
              <w:rPr>
                <w:rFonts w:hint="eastAsia" w:ascii="宋体" w:hAnsi="宋体" w:cs="方正仿宋_GBK"/>
                <w:color w:val="000000"/>
              </w:rPr>
              <w:t>项目实施计划</w:t>
            </w:r>
          </w:p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方正仿宋_GBK"/>
                <w:color w:val="000000"/>
              </w:rPr>
              <w:t>（8分）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投标人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应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按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照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招标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1"/>
              </w:rPr>
              <w:t>文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8"/>
              </w:rPr>
              <w:t>件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要求制定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详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细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的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项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目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实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施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方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案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pacing w:val="13"/>
                <w:w w:val="92"/>
              </w:rPr>
              <w:t>内</w:t>
            </w:r>
            <w:r>
              <w:rPr>
                <w:rFonts w:hint="eastAsia" w:ascii="宋体" w:hAnsi="宋体" w:cs="宋体"/>
                <w:bCs/>
                <w:color w:val="000000"/>
                <w:spacing w:val="9"/>
                <w:w w:val="90"/>
              </w:rPr>
              <w:t>容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w w:val="97"/>
              </w:rPr>
              <w:t>包</w:t>
            </w:r>
            <w:r>
              <w:rPr>
                <w:rFonts w:hint="eastAsia" w:ascii="宋体" w:hAnsi="宋体" w:cs="宋体"/>
                <w:bCs/>
                <w:color w:val="000000"/>
                <w:spacing w:val="-3"/>
                <w:w w:val="102"/>
              </w:rPr>
              <w:t>括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涉及产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品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到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货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期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14"/>
                <w:w w:val="90"/>
              </w:rPr>
              <w:t>现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场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安</w:t>
            </w:r>
            <w:r>
              <w:rPr>
                <w:rFonts w:hint="eastAsia" w:ascii="宋体" w:hAnsi="宋体" w:cs="宋体"/>
                <w:bCs/>
                <w:color w:val="000000"/>
                <w:spacing w:val="-6"/>
                <w:w w:val="95"/>
              </w:rPr>
              <w:t>装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9"/>
                <w:w w:val="90"/>
              </w:rPr>
              <w:t>进</w:t>
            </w:r>
            <w:r>
              <w:rPr>
                <w:rFonts w:hint="eastAsia" w:ascii="宋体" w:hAnsi="宋体" w:cs="宋体"/>
                <w:bCs/>
                <w:color w:val="000000"/>
                <w:spacing w:val="-3"/>
                <w:w w:val="102"/>
              </w:rPr>
              <w:t>度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计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划</w:t>
            </w:r>
            <w:r>
              <w:rPr>
                <w:rFonts w:hint="eastAsia" w:ascii="宋体" w:hAnsi="宋体" w:cs="宋体"/>
                <w:bCs/>
                <w:color w:val="000000"/>
                <w:w w:val="86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节点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控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8"/>
              </w:rPr>
              <w:t>制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4"/>
                <w:w w:val="99"/>
              </w:rPr>
              <w:t>人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员</w:t>
            </w:r>
            <w:r>
              <w:rPr>
                <w:rFonts w:hint="eastAsia" w:ascii="宋体" w:hAnsi="宋体" w:cs="宋体"/>
                <w:bCs/>
                <w:color w:val="000000"/>
                <w:spacing w:val="3"/>
                <w:w w:val="98"/>
              </w:rPr>
              <w:t>安</w:t>
            </w:r>
            <w:r>
              <w:rPr>
                <w:rFonts w:hint="eastAsia" w:ascii="宋体" w:hAnsi="宋体" w:cs="宋体"/>
                <w:bCs/>
                <w:color w:val="000000"/>
                <w:spacing w:val="17"/>
                <w:w w:val="91"/>
              </w:rPr>
              <w:t>排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0"/>
              </w:rPr>
              <w:t>现</w:t>
            </w:r>
            <w:r>
              <w:rPr>
                <w:rFonts w:hint="eastAsia" w:ascii="宋体" w:hAnsi="宋体" w:cs="宋体"/>
                <w:bCs/>
                <w:color w:val="000000"/>
                <w:spacing w:val="9"/>
                <w:w w:val="95"/>
              </w:rPr>
              <w:t>场</w:t>
            </w:r>
            <w:r>
              <w:rPr>
                <w:rFonts w:hint="eastAsia" w:ascii="宋体" w:hAnsi="宋体" w:cs="宋体"/>
                <w:bCs/>
                <w:color w:val="000000"/>
                <w:spacing w:val="13"/>
                <w:w w:val="90"/>
              </w:rPr>
              <w:t>管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7"/>
              </w:rPr>
              <w:t>理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13"/>
                <w:w w:val="91"/>
              </w:rPr>
              <w:t>调</w:t>
            </w:r>
            <w:r>
              <w:rPr>
                <w:rFonts w:hint="eastAsia" w:ascii="宋体" w:hAnsi="宋体" w:cs="宋体"/>
                <w:bCs/>
                <w:color w:val="000000"/>
                <w:spacing w:val="7"/>
                <w:w w:val="91"/>
              </w:rPr>
              <w:t>试</w:t>
            </w:r>
            <w:r>
              <w:rPr>
                <w:rFonts w:hint="eastAsia" w:ascii="宋体" w:hAnsi="宋体" w:cs="宋体"/>
                <w:bCs/>
                <w:color w:val="000000"/>
                <w:w w:val="93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设备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使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用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维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护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培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训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方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案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和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1"/>
              </w:rPr>
              <w:t>验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8"/>
              </w:rPr>
              <w:t>收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方案等。</w:t>
            </w:r>
            <w:r>
              <w:rPr>
                <w:rFonts w:hint="eastAsia"/>
                <w:color w:val="000000"/>
              </w:rPr>
              <w:t>由评委横向比较、酌情打分:优秀得（6-8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分，良好得（4-6）分，一般（0-4）分，计分步长为0.5。</w:t>
            </w:r>
            <w:r>
              <w:rPr>
                <w:rFonts w:hint="eastAsia" w:ascii="宋体" w:hAnsi="宋体" w:cs="宋体"/>
                <w:color w:val="000000"/>
              </w:rPr>
              <w:t>不提供</w:t>
            </w:r>
            <w:r>
              <w:rPr>
                <w:rFonts w:hint="eastAsia" w:ascii="宋体" w:hAnsi="宋体" w:cs="等线 Light"/>
                <w:color w:val="000000"/>
              </w:rPr>
              <w:t>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宋体" w:hAnsi="宋体" w:cs="方正仿宋_GBK"/>
                <w:color w:val="000000"/>
              </w:rPr>
            </w:pPr>
            <w:r>
              <w:rPr>
                <w:rFonts w:hint="eastAsia" w:ascii="宋体" w:hAnsi="宋体" w:cs="方正仿宋_GBK"/>
                <w:color w:val="000000"/>
              </w:rPr>
              <w:t>服务方案</w:t>
            </w:r>
          </w:p>
          <w:p>
            <w:pPr>
              <w:snapToGrid w:val="0"/>
              <w:spacing w:line="300" w:lineRule="auto"/>
              <w:ind w:left="105" w:leftChars="50" w:right="105" w:rightChar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方正仿宋_GBK"/>
                <w:color w:val="000000"/>
              </w:rPr>
              <w:t>（4分）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300" w:lineRule="auto"/>
              <w:ind w:left="105" w:leftChars="50" w:right="105" w:rightChars="5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投标人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应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按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照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招标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1"/>
              </w:rPr>
              <w:t>文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8"/>
              </w:rPr>
              <w:t>件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要求制定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完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善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的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售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后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服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务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管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理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体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1"/>
              </w:rPr>
              <w:t>系</w:t>
            </w:r>
            <w:r>
              <w:rPr>
                <w:rFonts w:hint="eastAsia" w:ascii="宋体" w:hAnsi="宋体" w:cs="宋体"/>
                <w:bCs/>
                <w:color w:val="000000"/>
                <w:spacing w:val="-2"/>
                <w:w w:val="98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提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供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包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含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服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务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范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围、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响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应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时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间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以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及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质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6"/>
              </w:rPr>
              <w:t>保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期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满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后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主要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7"/>
              </w:rPr>
              <w:t>产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品</w:t>
            </w:r>
            <w:r>
              <w:rPr>
                <w:rFonts w:hint="eastAsia" w:ascii="宋体" w:hAnsi="宋体" w:cs="宋体"/>
                <w:bCs/>
                <w:color w:val="000000"/>
                <w:spacing w:val="-21"/>
                <w:w w:val="90"/>
              </w:rPr>
              <w:t>、配</w:t>
            </w:r>
            <w:r>
              <w:rPr>
                <w:rFonts w:hint="eastAsia" w:ascii="宋体" w:hAnsi="宋体" w:cs="宋体"/>
                <w:bCs/>
                <w:color w:val="000000"/>
                <w:spacing w:val="-12"/>
                <w:w w:val="90"/>
              </w:rPr>
              <w:t>件</w:t>
            </w:r>
            <w:r>
              <w:rPr>
                <w:rFonts w:hint="eastAsia" w:ascii="宋体" w:hAnsi="宋体" w:cs="宋体"/>
                <w:bCs/>
                <w:color w:val="000000"/>
              </w:rPr>
              <w:t>优惠方案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2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pacing w:val="5"/>
                <w:w w:val="91"/>
              </w:rPr>
              <w:t>完</w:t>
            </w:r>
            <w:r>
              <w:rPr>
                <w:rFonts w:hint="eastAsia" w:ascii="宋体" w:hAnsi="宋体" w:cs="宋体"/>
                <w:bCs/>
                <w:color w:val="000000"/>
                <w:spacing w:val="15"/>
                <w:w w:val="91"/>
              </w:rPr>
              <w:t>整</w:t>
            </w:r>
            <w:r>
              <w:rPr>
                <w:rFonts w:hint="eastAsia" w:ascii="宋体" w:hAnsi="宋体" w:cs="宋体"/>
                <w:bCs/>
                <w:color w:val="000000"/>
                <w:spacing w:val="-6"/>
                <w:w w:val="95"/>
              </w:rPr>
              <w:t>的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售</w:t>
            </w:r>
            <w:r>
              <w:rPr>
                <w:rFonts w:hint="eastAsia" w:ascii="宋体" w:hAnsi="宋体" w:cs="宋体"/>
                <w:bCs/>
                <w:color w:val="000000"/>
                <w:spacing w:val="3"/>
                <w:w w:val="98"/>
              </w:rPr>
              <w:t>后</w:t>
            </w:r>
            <w:r>
              <w:rPr>
                <w:rFonts w:hint="eastAsia" w:ascii="宋体" w:hAnsi="宋体" w:cs="宋体"/>
                <w:bCs/>
                <w:color w:val="000000"/>
                <w:spacing w:val="17"/>
                <w:w w:val="91"/>
              </w:rPr>
              <w:t>服</w:t>
            </w:r>
            <w:r>
              <w:rPr>
                <w:rFonts w:hint="eastAsia" w:ascii="宋体" w:hAnsi="宋体" w:cs="宋体"/>
                <w:bCs/>
                <w:color w:val="000000"/>
                <w:spacing w:val="-8"/>
                <w:w w:val="95"/>
              </w:rPr>
              <w:t>务</w:t>
            </w:r>
            <w:r>
              <w:rPr>
                <w:rFonts w:hint="eastAsia" w:ascii="宋体" w:hAnsi="宋体" w:cs="宋体"/>
                <w:bCs/>
                <w:color w:val="000000"/>
                <w:spacing w:val="-5"/>
                <w:w w:val="103"/>
              </w:rPr>
              <w:t>方</w:t>
            </w:r>
            <w:r>
              <w:rPr>
                <w:rFonts w:hint="eastAsia" w:ascii="宋体" w:hAnsi="宋体" w:cs="宋体"/>
                <w:bCs/>
                <w:color w:val="000000"/>
                <w:spacing w:val="-1"/>
                <w:w w:val="101"/>
              </w:rPr>
              <w:t>案</w:t>
            </w:r>
            <w:r>
              <w:rPr>
                <w:rFonts w:hint="eastAsia" w:ascii="宋体" w:hAnsi="宋体" w:cs="方正仿宋_GBK"/>
                <w:color w:val="000000"/>
              </w:rPr>
              <w:t>等进行对比优秀得（3-4)分，良好得（1-2）分，一般（0-1）分，计分步长为0.5。不提供，不得分。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D27F1"/>
    <w:multiLevelType w:val="multilevel"/>
    <w:tmpl w:val="21ED27F1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A0480E"/>
    <w:multiLevelType w:val="multilevel"/>
    <w:tmpl w:val="41A0480E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61C161B"/>
    <w:multiLevelType w:val="multilevel"/>
    <w:tmpl w:val="661C161B"/>
    <w:lvl w:ilvl="0" w:tentative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QyMjA4OTU5MDBiZDlmMjYzNDZmMGM0NmU2MzAifQ=="/>
  </w:docVars>
  <w:rsids>
    <w:rsidRoot w:val="00051DBB"/>
    <w:rsid w:val="0000782C"/>
    <w:rsid w:val="00030280"/>
    <w:rsid w:val="00051DBB"/>
    <w:rsid w:val="00063F75"/>
    <w:rsid w:val="00073F1C"/>
    <w:rsid w:val="00093281"/>
    <w:rsid w:val="00104882"/>
    <w:rsid w:val="001A781C"/>
    <w:rsid w:val="001B66F4"/>
    <w:rsid w:val="001E098A"/>
    <w:rsid w:val="001F0202"/>
    <w:rsid w:val="002F2134"/>
    <w:rsid w:val="00332156"/>
    <w:rsid w:val="00394643"/>
    <w:rsid w:val="003A133A"/>
    <w:rsid w:val="003A5A64"/>
    <w:rsid w:val="003C01B8"/>
    <w:rsid w:val="003D1765"/>
    <w:rsid w:val="00400E4A"/>
    <w:rsid w:val="004059FC"/>
    <w:rsid w:val="004200EC"/>
    <w:rsid w:val="00470399"/>
    <w:rsid w:val="004757D6"/>
    <w:rsid w:val="004A52B0"/>
    <w:rsid w:val="00526D38"/>
    <w:rsid w:val="00527F05"/>
    <w:rsid w:val="005E2160"/>
    <w:rsid w:val="0060634F"/>
    <w:rsid w:val="00612886"/>
    <w:rsid w:val="00655DA5"/>
    <w:rsid w:val="006B47A9"/>
    <w:rsid w:val="00722309"/>
    <w:rsid w:val="007973EF"/>
    <w:rsid w:val="00804045"/>
    <w:rsid w:val="00835D8C"/>
    <w:rsid w:val="00836DBC"/>
    <w:rsid w:val="00837246"/>
    <w:rsid w:val="008414AA"/>
    <w:rsid w:val="00891F7F"/>
    <w:rsid w:val="008D315E"/>
    <w:rsid w:val="008F0A6E"/>
    <w:rsid w:val="00905D4E"/>
    <w:rsid w:val="00973184"/>
    <w:rsid w:val="00B50FF7"/>
    <w:rsid w:val="00B55B37"/>
    <w:rsid w:val="00B6299E"/>
    <w:rsid w:val="00BB2EB5"/>
    <w:rsid w:val="00C3160D"/>
    <w:rsid w:val="00C40AD8"/>
    <w:rsid w:val="00C44E2A"/>
    <w:rsid w:val="00CD53E8"/>
    <w:rsid w:val="00CE70EC"/>
    <w:rsid w:val="00D81D6F"/>
    <w:rsid w:val="00DD7CDD"/>
    <w:rsid w:val="00E043CE"/>
    <w:rsid w:val="00E2158D"/>
    <w:rsid w:val="00E628C4"/>
    <w:rsid w:val="00E859F5"/>
    <w:rsid w:val="00F0685B"/>
    <w:rsid w:val="00F32017"/>
    <w:rsid w:val="00F610CC"/>
    <w:rsid w:val="00F71817"/>
    <w:rsid w:val="00FC6D4E"/>
    <w:rsid w:val="00FD7995"/>
    <w:rsid w:val="00FE355C"/>
    <w:rsid w:val="535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3070</Words>
  <Characters>3556</Characters>
  <Lines>27</Lines>
  <Paragraphs>7</Paragraphs>
  <TotalTime>75</TotalTime>
  <ScaleCrop>false</ScaleCrop>
  <LinksUpToDate>false</LinksUpToDate>
  <CharactersWithSpaces>3600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2022-10-20T01:54:00Z</dcterms:created>
  <dc:creator>wym</dc:creator>
  <cp:lastModifiedBy>lz</cp:lastModifiedBy>
  <dcterms:modified xsi:type="dcterms:W3CDTF">2022-10-20T07:32:36Z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738095B424BF4E4593A7E87BA9F3B6A4</vt:lpwstr>
  </property>
</Properties>
</file>