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overflowPunct w:val="0"/>
        <w:adjustRightInd w:val="0"/>
        <w:snapToGrid w:val="0"/>
        <w:spacing w:line="500" w:lineRule="exact"/>
        <w:jc w:val="center"/>
        <w:textAlignment w:val="center"/>
        <w:rPr>
          <w:rFonts w:ascii="方正大标宋简体" w:hAnsi="仿宋" w:eastAsia="方正大标宋简体"/>
          <w:sz w:val="44"/>
          <w:szCs w:val="44"/>
        </w:rPr>
      </w:pPr>
      <w:r>
        <w:rPr>
          <w:rFonts w:hint="eastAsia" w:ascii="方正大标宋简体" w:hAnsi="仿宋" w:eastAsia="方正大标宋简体"/>
          <w:sz w:val="44"/>
          <w:szCs w:val="44"/>
        </w:rPr>
        <w:t>南京市第七届中小学教师微课竞赛</w:t>
      </w:r>
    </w:p>
    <w:p>
      <w:pPr>
        <w:overflowPunct w:val="0"/>
        <w:adjustRightInd w:val="0"/>
        <w:snapToGrid w:val="0"/>
        <w:spacing w:line="500" w:lineRule="exact"/>
        <w:jc w:val="center"/>
        <w:textAlignment w:val="center"/>
        <w:rPr>
          <w:rFonts w:ascii="方正大标宋简体" w:hAnsi="仿宋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hAnsi="仿宋" w:eastAsia="方正大标宋简体"/>
          <w:sz w:val="44"/>
          <w:szCs w:val="44"/>
        </w:rPr>
        <w:t>小学科学学科参赛规则</w:t>
      </w:r>
      <w:bookmarkEnd w:id="0"/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一、参赛对象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全市小学科学教师。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二、参赛要求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．参赛形式：本次微课竞赛采取“系列微课”形式，每个系列微课最少包含三个微课视频。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．内容范围：依据小学科学课程标准（2017版）相关内容。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三、参赛选题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主题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系列微课内容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微生物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学习显微镜观察微生物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霉菌对人类的影响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乳酸菌对人类的影响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生命系统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生物栖息地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食物链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生物的稳定与调节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植物的光合作用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动物维持生命需要消耗食物而获得能量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人体生长发育所需的主要营养物质及其消化吸收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生物与环境的相互关系</w:t>
            </w:r>
          </w:p>
        </w:tc>
        <w:tc>
          <w:tcPr>
            <w:tcW w:w="6946" w:type="dxa"/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动物在气候、食物、空气和水源等环境变化时的行为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生活习惯和外部环境因素对人体健康的影响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人类活动对生态环境的影响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生物的遗传与变异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生物的遗传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生物的变异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用化石做证据描述灭绝生物和当今生物的相似之处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热传递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6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．热传导及生活中的现象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7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．热对流及生活中的现象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8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．热辐射及生活中的现象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简单机械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9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．中国古代生活中的简单机械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0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．杠杆、滑轮、轮轴和斜面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1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．简单机械在生产、生活中的应用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力与运动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．摩擦力及其生活中的常见现象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3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．弹力及其生活中的常见现象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4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．浮力及其生活中的常见现象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光与色彩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5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．制造彩虹的方法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6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．光的色散与混合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7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．牛顿与光的色散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光学小制作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8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．万花筒的制作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9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．简易望远镜的制作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3</w:t>
            </w:r>
            <w:r>
              <w:rPr>
                <w:rFonts w:ascii="华文仿宋" w:hAnsi="华文仿宋" w:eastAsia="华文仿宋" w:cs="黑体"/>
                <w:sz w:val="32"/>
                <w:szCs w:val="32"/>
              </w:rPr>
              <w:t>0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．制作水滴放大镜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地球与月球的运动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31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地球自转及其带来的自然现象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地球公转及其带来的自然现象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33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月相变化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宇宙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34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太阳系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35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看星星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36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太空探索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天气和气候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37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雨的成因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38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雾的成因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39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雪的成因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岩石与矿物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40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认识常见岩石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41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岩石由矿物组成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42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矿产资源对人类生产的影响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地的表面与内部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43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模拟地球的内部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44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地震与火山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45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水对地球表面改变的影响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假设与制定计划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46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依据问题作出假设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47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实验计划的记录形式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设计单一变量的实验方案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搜集信息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49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依据观察获取事物的信息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50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依据实验获取事物的信息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51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依据资料、调查获取事物的信息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处理信息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52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用科学语言记录整理信息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53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用概念图记录整理信息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54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用统计图表记录整理信息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交流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55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用调查报告形式展示探究过程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56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用小论文形式展示探究过程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57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用小报形式展示探究过程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评价与反思</w:t>
            </w: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58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制定评价标准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59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依据评价标准作出评价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76" w:type="dxa"/>
            <w:vMerge w:val="continue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ascii="华文仿宋" w:hAnsi="华文仿宋" w:eastAsia="华文仿宋" w:cs="黑体"/>
                <w:sz w:val="32"/>
                <w:szCs w:val="32"/>
              </w:rPr>
              <w:t>60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．</w:t>
            </w: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根据评价结果对作品进行改进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auto"/>
          </w:tcPr>
          <w:p>
            <w:pPr>
              <w:overflowPunct w:val="0"/>
              <w:adjustRightInd w:val="0"/>
              <w:snapToGrid w:val="0"/>
              <w:spacing w:line="500" w:lineRule="exac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说明：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①所有主题，针对小学科学5-6学段课程标准的要求。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②每个微课时间不长于8分钟，一般应分为三部分：导入、主要内容、小结。在学生自学时，导入部分要有助于学生聚焦主题，明确问题，主要内容部分要能保持学生的学习动机，对事物及其现象作出清晰的说明、解释，小结部分应对本节微课的教学内容进行总结，提升认识。当作为教学资源在课堂上运用时，应便于使用者截取主要内容部分，作为教学中的支持性资源。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textAlignment w:val="center"/>
              <w:rPr>
                <w:rFonts w:ascii="华文仿宋" w:hAnsi="华文仿宋" w:eastAsia="华文仿宋" w:cs="黑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黑体"/>
                <w:sz w:val="32"/>
                <w:szCs w:val="32"/>
              </w:rPr>
              <w:t>③每一个主题的建议内容为一个序列，在此基础上，可以增加内容节点，但最多不超过5个。围绕主题，也可以在不同解读的基础上，另行分解并形成一个有关联逻辑的序列。</w:t>
            </w:r>
          </w:p>
        </w:tc>
      </w:tr>
    </w:tbl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四、参赛管理</w:t>
      </w:r>
    </w:p>
    <w:p>
      <w:pPr>
        <w:pStyle w:val="6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．各区上报符合要求的小学科学系列微课数量最多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件，直属校数量不限。</w:t>
      </w:r>
    </w:p>
    <w:p>
      <w:pPr>
        <w:pStyle w:val="6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．小学科学系列微课最多可以填报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位作者。</w:t>
      </w:r>
    </w:p>
    <w:p>
      <w:pPr>
        <w:pStyle w:val="6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．市级评审按照</w:t>
      </w:r>
      <w:r>
        <w:rPr>
          <w:rFonts w:ascii="仿宋" w:hAnsi="仿宋" w:eastAsia="仿宋"/>
          <w:sz w:val="32"/>
          <w:szCs w:val="32"/>
        </w:rPr>
        <w:t>10%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15%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25%</w:t>
      </w:r>
      <w:r>
        <w:rPr>
          <w:rFonts w:hint="eastAsia" w:ascii="仿宋" w:hAnsi="仿宋" w:eastAsia="仿宋"/>
          <w:sz w:val="32"/>
          <w:szCs w:val="32"/>
        </w:rPr>
        <w:t>设立一、二、三等奖。</w:t>
      </w:r>
    </w:p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_GB2312" w:eastAsia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_GB2312" w:eastAsia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_GB2312" w:eastAsia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15351"/>
    <w:rsid w:val="51E1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2021-10-20T07:02:00Z</dcterms:created>
  <dc:creator>Administrator</dc:creator>
  <cp:lastModifiedBy>Administrator</cp:lastModifiedBy>
  <dcterms:modified xsi:type="dcterms:W3CDTF">2021-10-20T07:02:35Z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